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97081E">
            <w:pPr>
              <w:pStyle w:val="Paragraphedeliste"/>
              <w:rPr>
                <w:rFonts w:ascii="Arial" w:hAnsi="Arial" w:cs="Arial"/>
                <w:b/>
                <w:sz w:val="20"/>
                <w:szCs w:val="20"/>
              </w:rPr>
            </w:pPr>
            <w:r>
              <w:rPr>
                <w:rFonts w:ascii="Arial" w:hAnsi="Arial" w:cs="Arial"/>
                <w:b/>
                <w:sz w:val="20"/>
                <w:szCs w:val="20"/>
              </w:rPr>
              <w:t>LC-GD-</w:t>
            </w:r>
            <w:r w:rsidR="002757B0">
              <w:rPr>
                <w:rFonts w:ascii="Arial" w:hAnsi="Arial" w:cs="Arial"/>
                <w:b/>
                <w:sz w:val="20"/>
                <w:szCs w:val="20"/>
              </w:rPr>
              <w:t>7</w:t>
            </w:r>
            <w:r w:rsidR="00C245B7">
              <w:rPr>
                <w:rFonts w:ascii="Arial" w:hAnsi="Arial" w:cs="Arial"/>
                <w:b/>
                <w:sz w:val="20"/>
                <w:szCs w:val="20"/>
              </w:rPr>
              <w:t>-1-2020-</w:t>
            </w:r>
            <w:r w:rsidR="002757B0">
              <w:rPr>
                <w:rFonts w:ascii="Arial" w:hAnsi="Arial" w:cs="Arial"/>
                <w:b/>
                <w:sz w:val="20"/>
                <w:szCs w:val="20"/>
              </w:rPr>
              <w:t>Restoring biodiversity and e</w:t>
            </w:r>
            <w:r w:rsidR="0097081E">
              <w:rPr>
                <w:rFonts w:ascii="Arial" w:hAnsi="Arial" w:cs="Arial"/>
                <w:b/>
                <w:sz w:val="20"/>
                <w:szCs w:val="20"/>
              </w:rPr>
              <w:t>c</w:t>
            </w:r>
            <w:r w:rsidR="002757B0">
              <w:rPr>
                <w:rFonts w:ascii="Arial" w:hAnsi="Arial" w:cs="Arial"/>
                <w:b/>
                <w:sz w:val="20"/>
                <w:szCs w:val="20"/>
              </w:rPr>
              <w:t>osystem services</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2757B0" w:rsidRPr="00D13FE9" w:rsidRDefault="002757B0" w:rsidP="00EC4230">
            <w:pPr>
              <w:pStyle w:val="Default"/>
              <w:numPr>
                <w:ilvl w:val="0"/>
                <w:numId w:val="13"/>
              </w:numPr>
              <w:ind w:left="142" w:hanging="284"/>
              <w:rPr>
                <w:rFonts w:eastAsia="Calibri"/>
                <w:sz w:val="18"/>
                <w:szCs w:val="20"/>
                <w:lang w:val="en-US"/>
              </w:rPr>
            </w:pPr>
            <w:r w:rsidRPr="00D13FE9">
              <w:rPr>
                <w:rFonts w:eastAsia="Calibri"/>
                <w:sz w:val="18"/>
                <w:szCs w:val="20"/>
                <w:lang w:val="en-US"/>
              </w:rPr>
              <w:t xml:space="preserve">At </w:t>
            </w:r>
            <w:hyperlink r:id="rId7" w:history="1">
              <w:r w:rsidRPr="00D13FE9">
                <w:rPr>
                  <w:rStyle w:val="Lienhypertexte"/>
                  <w:rFonts w:eastAsia="Calibri"/>
                  <w:sz w:val="18"/>
                  <w:szCs w:val="20"/>
                  <w:lang w:val="en-US"/>
                </w:rPr>
                <w:t xml:space="preserve">DRF/JACOB/ </w:t>
              </w:r>
              <w:proofErr w:type="spellStart"/>
              <w:r w:rsidRPr="00D13FE9">
                <w:rPr>
                  <w:rStyle w:val="Lienhypertexte"/>
                  <w:rFonts w:eastAsia="Calibri"/>
                  <w:sz w:val="18"/>
                  <w:szCs w:val="20"/>
                  <w:lang w:val="en-US"/>
                </w:rPr>
                <w:t>Genoscope</w:t>
              </w:r>
              <w:proofErr w:type="spellEnd"/>
            </w:hyperlink>
            <w:r w:rsidRPr="00D13FE9">
              <w:rPr>
                <w:rFonts w:eastAsia="Calibri"/>
                <w:sz w:val="18"/>
                <w:szCs w:val="20"/>
                <w:lang w:val="en-US"/>
              </w:rPr>
              <w:t xml:space="preserve">: </w:t>
            </w:r>
            <w:r w:rsidRPr="00D13FE9">
              <w:rPr>
                <w:rFonts w:eastAsia="Calibri"/>
                <w:b/>
                <w:sz w:val="18"/>
                <w:szCs w:val="20"/>
                <w:lang w:val="en-US"/>
              </w:rPr>
              <w:t>Monitoring the genetic diversity of microscopic ecosystems</w:t>
            </w:r>
            <w:r w:rsidRPr="00D13FE9">
              <w:rPr>
                <w:rFonts w:eastAsia="Calibri"/>
                <w:sz w:val="18"/>
                <w:szCs w:val="20"/>
                <w:lang w:val="en-US"/>
              </w:rPr>
              <w:t xml:space="preserve"> on seas and lands at all scales, from species to strains, and from viruses to </w:t>
            </w:r>
            <w:proofErr w:type="spellStart"/>
            <w:r w:rsidRPr="00D13FE9">
              <w:rPr>
                <w:rFonts w:eastAsia="Calibri"/>
                <w:sz w:val="18"/>
                <w:szCs w:val="20"/>
                <w:lang w:val="en-US"/>
              </w:rPr>
              <w:t>macroorganisms</w:t>
            </w:r>
            <w:proofErr w:type="spellEnd"/>
            <w:r w:rsidRPr="00D13FE9">
              <w:rPr>
                <w:rFonts w:eastAsia="Calibri"/>
                <w:sz w:val="18"/>
                <w:szCs w:val="20"/>
                <w:lang w:val="en-US"/>
              </w:rPr>
              <w:t xml:space="preserve">. </w:t>
            </w:r>
            <w:r w:rsidRPr="00D13FE9">
              <w:rPr>
                <w:rFonts w:eastAsia="Calibri"/>
                <w:b/>
                <w:sz w:val="18"/>
                <w:szCs w:val="20"/>
                <w:lang w:val="en-US"/>
              </w:rPr>
              <w:t xml:space="preserve">Functional assessment of </w:t>
            </w:r>
            <w:proofErr w:type="spellStart"/>
            <w:r w:rsidRPr="00D13FE9">
              <w:rPr>
                <w:rFonts w:eastAsia="Calibri"/>
                <w:b/>
                <w:sz w:val="18"/>
                <w:szCs w:val="20"/>
                <w:lang w:val="en-US"/>
              </w:rPr>
              <w:t>organisms’activities</w:t>
            </w:r>
            <w:proofErr w:type="spellEnd"/>
            <w:r w:rsidRPr="00D13FE9">
              <w:rPr>
                <w:rFonts w:eastAsia="Calibri"/>
                <w:b/>
                <w:sz w:val="18"/>
                <w:szCs w:val="20"/>
                <w:lang w:val="en-US"/>
              </w:rPr>
              <w:t xml:space="preserve"> in complex ecosystems</w:t>
            </w:r>
            <w:r w:rsidRPr="00D13FE9">
              <w:rPr>
                <w:rFonts w:eastAsia="Calibri"/>
                <w:sz w:val="18"/>
                <w:szCs w:val="20"/>
                <w:lang w:val="en-US"/>
              </w:rPr>
              <w:t>. Targets :</w:t>
            </w:r>
          </w:p>
          <w:p w:rsidR="002757B0" w:rsidRPr="00D13FE9" w:rsidRDefault="002757B0" w:rsidP="002757B0">
            <w:pPr>
              <w:pStyle w:val="Default"/>
              <w:rPr>
                <w:sz w:val="18"/>
                <w:lang w:val="en-GB"/>
              </w:rPr>
            </w:pPr>
            <w:r w:rsidRPr="00D13FE9">
              <w:rPr>
                <w:sz w:val="18"/>
                <w:lang w:val="en-GB"/>
              </w:rPr>
              <w:t xml:space="preserve">1/provide </w:t>
            </w:r>
            <w:r w:rsidRPr="00D13FE9">
              <w:rPr>
                <w:b/>
                <w:sz w:val="18"/>
                <w:lang w:val="en-GB"/>
              </w:rPr>
              <w:t>testing at large scale of support actions to the EU commitment</w:t>
            </w:r>
            <w:r w:rsidRPr="00D13FE9">
              <w:rPr>
                <w:sz w:val="18"/>
                <w:lang w:val="en-GB"/>
              </w:rPr>
              <w:t xml:space="preserve"> to reduce emissions by 50-55% by 2030 and become climate-neutral by 2050 (European Green Deal), the EU Biodiversity Strategy and the EU Nature Directives, the Farm-to-Fork Strategy, the Climate Law, the </w:t>
            </w:r>
            <w:proofErr w:type="spellStart"/>
            <w:r w:rsidRPr="00D13FE9">
              <w:rPr>
                <w:sz w:val="18"/>
                <w:lang w:val="en-GB"/>
              </w:rPr>
              <w:t>Bioeconomy</w:t>
            </w:r>
            <w:proofErr w:type="spellEnd"/>
            <w:r w:rsidRPr="00D13FE9">
              <w:rPr>
                <w:sz w:val="18"/>
                <w:lang w:val="en-GB"/>
              </w:rPr>
              <w:t xml:space="preserve"> Strategy and Action Plan, the EU Covenant of Mayors, EU Adaptation Strategy (2013), the UN Decade on Ecosystem Restoration and the UN Sustainable Development Goals. </w:t>
            </w:r>
          </w:p>
          <w:p w:rsidR="002757B0" w:rsidRPr="00D13FE9" w:rsidRDefault="002757B0" w:rsidP="002757B0">
            <w:pPr>
              <w:pStyle w:val="Default"/>
              <w:rPr>
                <w:rFonts w:eastAsia="Calibri"/>
                <w:b/>
                <w:sz w:val="14"/>
                <w:szCs w:val="20"/>
                <w:lang w:val="en-US"/>
              </w:rPr>
            </w:pPr>
            <w:r w:rsidRPr="00D13FE9">
              <w:rPr>
                <w:sz w:val="18"/>
                <w:lang w:val="en-GB"/>
              </w:rPr>
              <w:t xml:space="preserve">2/ </w:t>
            </w:r>
            <w:r w:rsidRPr="00D13FE9">
              <w:rPr>
                <w:b/>
                <w:sz w:val="18"/>
                <w:lang w:val="en-GB"/>
              </w:rPr>
              <w:t>pilot and identify urgent, suitable innovative systems and methodologies for the ecological restoration of carbon sinks</w:t>
            </w:r>
            <w:r w:rsidRPr="00D13FE9">
              <w:rPr>
                <w:sz w:val="18"/>
                <w:lang w:val="en-GB"/>
              </w:rPr>
              <w:t>, with a view to significantly reducing the carbon and environmental footprint of Europe whilst helping with the implementation of EU climate, energy, biodiversity, agricultural, forestry and fisheries policies;</w:t>
            </w:r>
          </w:p>
          <w:p w:rsidR="00E20C15" w:rsidRDefault="002757B0" w:rsidP="002757B0">
            <w:pPr>
              <w:pStyle w:val="Default"/>
              <w:rPr>
                <w:rFonts w:eastAsia="Calibri"/>
                <w:i/>
                <w:sz w:val="20"/>
                <w:szCs w:val="20"/>
                <w:lang w:val="en-GB"/>
              </w:rPr>
            </w:pPr>
            <w:r w:rsidRPr="00E20C15">
              <w:rPr>
                <w:rFonts w:eastAsia="Calibri"/>
                <w:i/>
                <w:sz w:val="20"/>
                <w:szCs w:val="20"/>
                <w:lang w:val="en-GB"/>
              </w:rPr>
              <w:t>Main contact person:</w:t>
            </w:r>
            <w:r>
              <w:rPr>
                <w:rFonts w:eastAsia="Calibri"/>
                <w:i/>
                <w:sz w:val="20"/>
                <w:szCs w:val="20"/>
                <w:lang w:val="en-GB"/>
              </w:rPr>
              <w:t xml:space="preserve"> </w:t>
            </w:r>
            <w:r w:rsidRPr="002757B0">
              <w:rPr>
                <w:rFonts w:eastAsia="Calibri"/>
                <w:i/>
                <w:sz w:val="20"/>
                <w:szCs w:val="20"/>
                <w:lang w:val="en-GB"/>
              </w:rPr>
              <w:t>Patrick W</w:t>
            </w:r>
            <w:r>
              <w:rPr>
                <w:rFonts w:eastAsia="Calibri"/>
                <w:i/>
                <w:sz w:val="20"/>
                <w:szCs w:val="20"/>
                <w:lang w:val="en-GB"/>
              </w:rPr>
              <w:t>INCKER</w:t>
            </w:r>
            <w:r>
              <w:rPr>
                <w:rFonts w:eastAsia="Calibri"/>
                <w:b/>
                <w:sz w:val="20"/>
                <w:szCs w:val="20"/>
                <w:lang w:val="en-US"/>
              </w:rPr>
              <w:t xml:space="preserve"> </w:t>
            </w:r>
            <w:hyperlink r:id="rId8" w:history="1">
              <w:r w:rsidRPr="00AF2DD7">
                <w:rPr>
                  <w:rStyle w:val="Lienhypertexte"/>
                  <w:rFonts w:eastAsia="Calibri"/>
                  <w:b/>
                  <w:sz w:val="20"/>
                  <w:szCs w:val="20"/>
                  <w:lang w:val="en-US"/>
                </w:rPr>
                <w:t>patrick.wincker@cea.fr</w:t>
              </w:r>
            </w:hyperlink>
          </w:p>
          <w:p w:rsidR="002757B0" w:rsidRDefault="002757B0" w:rsidP="002757B0">
            <w:pPr>
              <w:pStyle w:val="Default"/>
              <w:rPr>
                <w:rFonts w:eastAsia="Calibri"/>
                <w:b/>
                <w:sz w:val="20"/>
                <w:szCs w:val="20"/>
                <w:lang w:val="en-US"/>
              </w:rPr>
            </w:pPr>
          </w:p>
          <w:p w:rsidR="003032EB" w:rsidRDefault="002757B0" w:rsidP="00F757CB">
            <w:pPr>
              <w:pStyle w:val="default0"/>
              <w:numPr>
                <w:ilvl w:val="0"/>
                <w:numId w:val="13"/>
              </w:numPr>
              <w:spacing w:before="0" w:beforeAutospacing="0" w:after="0" w:afterAutospacing="0"/>
              <w:ind w:left="142" w:hanging="284"/>
              <w:rPr>
                <w:rFonts w:ascii="Arial" w:hAnsi="Arial" w:cs="Arial"/>
                <w:color w:val="000000"/>
                <w:sz w:val="20"/>
                <w:lang w:val="en-GB" w:eastAsia="en-US"/>
              </w:rPr>
            </w:pPr>
            <w:r w:rsidRPr="002757B0">
              <w:rPr>
                <w:bCs/>
                <w:sz w:val="20"/>
                <w:szCs w:val="20"/>
                <w:lang w:val="en-US"/>
              </w:rPr>
              <w:t>At</w:t>
            </w:r>
            <w:r w:rsidR="00E20C15">
              <w:rPr>
                <w:b/>
                <w:bCs/>
                <w:sz w:val="20"/>
                <w:szCs w:val="20"/>
                <w:lang w:val="en-US"/>
              </w:rPr>
              <w:t xml:space="preserve"> </w:t>
            </w:r>
            <w:hyperlink r:id="rId9" w:history="1">
              <w:r w:rsidR="00E20C15" w:rsidRPr="00E20C15">
                <w:rPr>
                  <w:rStyle w:val="Lienhypertexte"/>
                  <w:sz w:val="20"/>
                  <w:szCs w:val="20"/>
                  <w:lang w:val="en-GB"/>
                </w:rPr>
                <w:t>DRF/ LSCE/</w:t>
              </w:r>
              <w:proofErr w:type="spellStart"/>
              <w:r w:rsidR="00E20C15" w:rsidRPr="00E20C15">
                <w:rPr>
                  <w:rStyle w:val="Lienhypertexte"/>
                  <w:sz w:val="20"/>
                  <w:szCs w:val="20"/>
                  <w:lang w:val="en-GB"/>
                </w:rPr>
                <w:t>Archives&amp;Traceurs</w:t>
              </w:r>
              <w:proofErr w:type="spellEnd"/>
            </w:hyperlink>
            <w:r w:rsidR="003032EB">
              <w:rPr>
                <w:rFonts w:eastAsia="Calibri"/>
                <w:b/>
                <w:sz w:val="20"/>
                <w:szCs w:val="20"/>
                <w:lang w:val="en-US"/>
              </w:rPr>
              <w:t xml:space="preserve">: </w:t>
            </w:r>
            <w:r w:rsidR="003032EB" w:rsidRPr="00F757CB">
              <w:rPr>
                <w:rFonts w:ascii="Arial" w:hAnsi="Arial" w:cs="Arial"/>
                <w:b/>
                <w:color w:val="000000"/>
                <w:sz w:val="20"/>
                <w:lang w:val="en-GB" w:eastAsia="en-US"/>
              </w:rPr>
              <w:t>soil science and 14C as a tool</w:t>
            </w:r>
            <w:r w:rsidR="003032EB" w:rsidRPr="003032EB">
              <w:rPr>
                <w:rFonts w:ascii="Arial" w:hAnsi="Arial" w:cs="Arial"/>
                <w:color w:val="000000"/>
                <w:sz w:val="20"/>
                <w:lang w:val="en-GB" w:eastAsia="en-US"/>
              </w:rPr>
              <w:t xml:space="preserve"> to evaluate the </w:t>
            </w:r>
            <w:r w:rsidR="003032EB" w:rsidRPr="00F757CB">
              <w:rPr>
                <w:rFonts w:ascii="Arial" w:hAnsi="Arial" w:cs="Arial"/>
                <w:b/>
                <w:color w:val="000000"/>
                <w:sz w:val="20"/>
                <w:lang w:val="en-GB" w:eastAsia="en-US"/>
              </w:rPr>
              <w:t>state of soil health</w:t>
            </w:r>
            <w:r w:rsidR="003032EB" w:rsidRPr="003032EB">
              <w:rPr>
                <w:rFonts w:ascii="Arial" w:hAnsi="Arial" w:cs="Arial"/>
                <w:color w:val="000000"/>
                <w:sz w:val="20"/>
                <w:lang w:val="en-GB" w:eastAsia="en-US"/>
              </w:rPr>
              <w:t xml:space="preserve"> (assessment of soil carbon stock and long-term storage capacities), the </w:t>
            </w:r>
            <w:r w:rsidR="003032EB" w:rsidRPr="00F757CB">
              <w:rPr>
                <w:rFonts w:ascii="Arial" w:hAnsi="Arial" w:cs="Arial"/>
                <w:b/>
                <w:color w:val="000000"/>
                <w:sz w:val="20"/>
                <w:lang w:val="en-GB" w:eastAsia="en-US"/>
              </w:rPr>
              <w:t>soil history</w:t>
            </w:r>
            <w:r w:rsidR="003032EB" w:rsidRPr="003032EB">
              <w:rPr>
                <w:rFonts w:ascii="Arial" w:hAnsi="Arial" w:cs="Arial"/>
                <w:color w:val="000000"/>
                <w:sz w:val="20"/>
                <w:lang w:val="en-GB" w:eastAsia="en-US"/>
              </w:rPr>
              <w:t xml:space="preserve"> and to assess the </w:t>
            </w:r>
            <w:r w:rsidR="003032EB" w:rsidRPr="00F757CB">
              <w:rPr>
                <w:rFonts w:ascii="Arial" w:hAnsi="Arial" w:cs="Arial"/>
                <w:b/>
                <w:color w:val="000000"/>
                <w:sz w:val="20"/>
                <w:lang w:val="en-GB" w:eastAsia="en-US"/>
              </w:rPr>
              <w:t>efficiency over time of restoration methods and/or sustainable agriculture</w:t>
            </w:r>
            <w:r w:rsidR="003032EB" w:rsidRPr="003032EB">
              <w:rPr>
                <w:rFonts w:ascii="Arial" w:hAnsi="Arial" w:cs="Arial"/>
                <w:color w:val="000000"/>
                <w:sz w:val="20"/>
                <w:lang w:val="en-GB" w:eastAsia="en-US"/>
              </w:rPr>
              <w:t>.</w:t>
            </w:r>
          </w:p>
          <w:p w:rsidR="003032EB" w:rsidRPr="003032EB" w:rsidRDefault="003032EB" w:rsidP="003032EB">
            <w:pPr>
              <w:pStyle w:val="default0"/>
              <w:spacing w:before="0" w:beforeAutospacing="0" w:after="0" w:afterAutospacing="0"/>
              <w:rPr>
                <w:rFonts w:ascii="Arial" w:hAnsi="Arial" w:cs="Arial"/>
                <w:color w:val="000000"/>
                <w:sz w:val="20"/>
                <w:lang w:val="en-GB" w:eastAsia="en-US"/>
              </w:rPr>
            </w:pPr>
            <w:r w:rsidRPr="00F757CB">
              <w:rPr>
                <w:rFonts w:ascii="Arial" w:hAnsi="Arial" w:cs="Arial"/>
                <w:b/>
                <w:color w:val="000000"/>
                <w:sz w:val="20"/>
                <w:lang w:val="en-GB" w:eastAsia="en-US"/>
              </w:rPr>
              <w:t>14C as a tool to evaluate carbon transfer time from atmosphere to trophic level</w:t>
            </w:r>
            <w:r w:rsidRPr="003032EB">
              <w:rPr>
                <w:rFonts w:ascii="Arial" w:hAnsi="Arial" w:cs="Arial"/>
                <w:color w:val="000000"/>
                <w:sz w:val="20"/>
                <w:lang w:val="en-GB" w:eastAsia="en-US"/>
              </w:rPr>
              <w:t xml:space="preserve"> (heterotrophic plant, badly known trophic network that includes insects and microorganisms) : </w:t>
            </w:r>
            <w:r w:rsidRPr="00F757CB">
              <w:rPr>
                <w:rFonts w:ascii="Arial" w:hAnsi="Arial" w:cs="Arial"/>
                <w:b/>
                <w:color w:val="000000"/>
                <w:sz w:val="20"/>
                <w:lang w:val="en-GB" w:eastAsia="en-US"/>
              </w:rPr>
              <w:t>before and after restoration</w:t>
            </w:r>
            <w:r w:rsidRPr="003032EB">
              <w:rPr>
                <w:rFonts w:ascii="Arial" w:hAnsi="Arial" w:cs="Arial"/>
                <w:color w:val="000000"/>
                <w:sz w:val="20"/>
                <w:lang w:val="en-GB" w:eastAsia="en-US"/>
              </w:rPr>
              <w:t> </w:t>
            </w:r>
          </w:p>
          <w:p w:rsidR="00E20C15" w:rsidRDefault="00E20C15" w:rsidP="00F757CB">
            <w:pPr>
              <w:pStyle w:val="Default"/>
              <w:rPr>
                <w:rStyle w:val="Lienhypertexte"/>
                <w:b/>
                <w:sz w:val="20"/>
                <w:szCs w:val="20"/>
                <w:lang w:val="en-GB"/>
              </w:rPr>
            </w:pPr>
            <w:r w:rsidRPr="00E20C15">
              <w:rPr>
                <w:rFonts w:eastAsia="Calibri"/>
                <w:i/>
                <w:sz w:val="20"/>
                <w:szCs w:val="20"/>
                <w:lang w:val="en-GB"/>
              </w:rPr>
              <w:t>Main contact person:</w:t>
            </w:r>
            <w:r>
              <w:rPr>
                <w:sz w:val="20"/>
                <w:szCs w:val="20"/>
                <w:lang w:val="en-GB"/>
              </w:rPr>
              <w:t xml:space="preserve"> </w:t>
            </w:r>
            <w:r w:rsidRPr="00E20C15">
              <w:rPr>
                <w:i/>
                <w:sz w:val="20"/>
                <w:szCs w:val="20"/>
                <w:lang w:val="en-GB"/>
              </w:rPr>
              <w:t>Christine HATTÉ</w:t>
            </w:r>
            <w:r w:rsidRPr="00B71A52">
              <w:rPr>
                <w:lang w:val="en-GB"/>
              </w:rPr>
              <w:t xml:space="preserve"> </w:t>
            </w:r>
            <w:hyperlink r:id="rId10" w:history="1">
              <w:r w:rsidRPr="00FF2622">
                <w:rPr>
                  <w:rStyle w:val="Lienhypertexte"/>
                  <w:b/>
                  <w:sz w:val="20"/>
                  <w:szCs w:val="20"/>
                  <w:lang w:val="en-GB"/>
                </w:rPr>
                <w:t>christine.hatte@lsce.ipsl.fr</w:t>
              </w:r>
            </w:hyperlink>
          </w:p>
          <w:p w:rsidR="00D13FE9" w:rsidRDefault="00D13FE9" w:rsidP="00F757CB">
            <w:pPr>
              <w:pStyle w:val="Default"/>
              <w:rPr>
                <w:rStyle w:val="Lienhypertexte"/>
                <w:b/>
                <w:bCs/>
                <w:color w:val="000000"/>
                <w:sz w:val="20"/>
                <w:szCs w:val="20"/>
                <w:u w:val="none"/>
                <w:lang w:val="en-US"/>
              </w:rPr>
            </w:pPr>
          </w:p>
          <w:p w:rsidR="00D13FE9" w:rsidRPr="00D13FE9" w:rsidRDefault="00D13FE9" w:rsidP="00DE5F74">
            <w:pPr>
              <w:pStyle w:val="default0"/>
              <w:numPr>
                <w:ilvl w:val="0"/>
                <w:numId w:val="13"/>
              </w:numPr>
              <w:spacing w:before="0" w:beforeAutospacing="0" w:after="0" w:afterAutospacing="0"/>
              <w:ind w:left="142" w:hanging="284"/>
              <w:rPr>
                <w:sz w:val="20"/>
                <w:szCs w:val="20"/>
                <w:lang w:val="de-DE" w:eastAsia="de-DE"/>
              </w:rPr>
            </w:pPr>
            <w:r w:rsidRPr="00D13FE9">
              <w:rPr>
                <w:bCs/>
                <w:sz w:val="20"/>
                <w:szCs w:val="20"/>
                <w:lang w:val="en-GB"/>
              </w:rPr>
              <w:t>At</w:t>
            </w:r>
            <w:r w:rsidRPr="00D13FE9">
              <w:rPr>
                <w:b/>
                <w:bCs/>
                <w:sz w:val="20"/>
                <w:szCs w:val="20"/>
                <w:lang w:val="en-GB"/>
              </w:rPr>
              <w:t xml:space="preserve"> </w:t>
            </w:r>
            <w:hyperlink r:id="rId11" w:history="1">
              <w:r w:rsidRPr="00D13FE9">
                <w:rPr>
                  <w:rStyle w:val="Lienhypertexte"/>
                  <w:sz w:val="20"/>
                  <w:szCs w:val="20"/>
                  <w:lang w:val="en-GB"/>
                </w:rPr>
                <w:t>DRF/ LSCE/</w:t>
              </w:r>
              <w:proofErr w:type="spellStart"/>
              <w:r w:rsidRPr="00D13FE9">
                <w:rPr>
                  <w:rStyle w:val="Lienhypertexte"/>
                  <w:sz w:val="20"/>
                  <w:szCs w:val="20"/>
                  <w:lang w:val="en-GB"/>
                </w:rPr>
                <w:t>Archives&amp;Traceurs</w:t>
              </w:r>
              <w:proofErr w:type="spellEnd"/>
            </w:hyperlink>
            <w:r w:rsidRPr="00D13FE9">
              <w:rPr>
                <w:rFonts w:eastAsia="Calibri"/>
                <w:b/>
                <w:sz w:val="20"/>
                <w:szCs w:val="20"/>
                <w:lang w:val="en-GB"/>
              </w:rPr>
              <w:t>:</w:t>
            </w:r>
            <w:r w:rsidRPr="00D13FE9">
              <w:rPr>
                <w:rFonts w:eastAsia="Calibri"/>
                <w:sz w:val="20"/>
                <w:szCs w:val="20"/>
                <w:lang w:val="en-US" w:eastAsia="de-DE"/>
              </w:rPr>
              <w:t xml:space="preserve"> Using </w:t>
            </w:r>
            <w:r w:rsidRPr="00D13FE9">
              <w:rPr>
                <w:rFonts w:eastAsia="Calibri"/>
                <w:b/>
                <w:sz w:val="20"/>
                <w:szCs w:val="20"/>
                <w:lang w:val="en-US" w:eastAsia="de-DE"/>
              </w:rPr>
              <w:t>tropical and cold water corals to monitor at high resolution</w:t>
            </w:r>
            <w:r w:rsidRPr="00D13FE9">
              <w:rPr>
                <w:rFonts w:eastAsia="Calibri"/>
                <w:sz w:val="20"/>
                <w:szCs w:val="20"/>
                <w:lang w:val="en-US" w:eastAsia="de-DE"/>
              </w:rPr>
              <w:t xml:space="preserve"> (monthly, yearly, etc.) </w:t>
            </w:r>
            <w:r w:rsidRPr="00D13FE9">
              <w:rPr>
                <w:rFonts w:eastAsia="Calibri"/>
                <w:b/>
                <w:sz w:val="20"/>
                <w:szCs w:val="20"/>
                <w:lang w:val="en-US" w:eastAsia="de-DE"/>
              </w:rPr>
              <w:t>past environments</w:t>
            </w:r>
            <w:r w:rsidRPr="00D13FE9">
              <w:rPr>
                <w:rFonts w:eastAsia="Calibri"/>
                <w:sz w:val="20"/>
                <w:szCs w:val="20"/>
                <w:lang w:val="en-US" w:eastAsia="de-DE"/>
              </w:rPr>
              <w:t xml:space="preserve"> (temperature, pH &amp; Carbon cycle, local released pollutants like heavy metals, nutrients, micro- plastics) </w:t>
            </w:r>
            <w:r w:rsidRPr="00D13FE9">
              <w:rPr>
                <w:rFonts w:eastAsia="Calibri"/>
                <w:b/>
                <w:sz w:val="20"/>
                <w:szCs w:val="20"/>
                <w:lang w:val="en-US" w:eastAsia="de-DE"/>
              </w:rPr>
              <w:t>over the last 5 centuries and beyond</w:t>
            </w:r>
            <w:r w:rsidRPr="00D13FE9">
              <w:rPr>
                <w:rFonts w:eastAsia="Calibri"/>
                <w:sz w:val="20"/>
                <w:szCs w:val="20"/>
                <w:lang w:val="en-US" w:eastAsia="de-DE"/>
              </w:rPr>
              <w:t xml:space="preserve">. Study the </w:t>
            </w:r>
            <w:r w:rsidRPr="00D13FE9">
              <w:rPr>
                <w:rFonts w:eastAsia="Calibri"/>
                <w:b/>
                <w:sz w:val="20"/>
                <w:szCs w:val="20"/>
                <w:lang w:val="en-US" w:eastAsia="de-DE"/>
              </w:rPr>
              <w:t>impact of these global change</w:t>
            </w:r>
            <w:r w:rsidRPr="00D13FE9">
              <w:rPr>
                <w:rFonts w:eastAsia="Calibri"/>
                <w:sz w:val="20"/>
                <w:szCs w:val="20"/>
                <w:lang w:val="en-US" w:eastAsia="de-DE"/>
              </w:rPr>
              <w:t xml:space="preserve"> (global warming, ocean acidification, human pressure) </w:t>
            </w:r>
            <w:r w:rsidRPr="00D13FE9">
              <w:rPr>
                <w:rFonts w:eastAsia="Calibri"/>
                <w:b/>
                <w:sz w:val="20"/>
                <w:szCs w:val="20"/>
                <w:lang w:val="en-US" w:eastAsia="de-DE"/>
              </w:rPr>
              <w:t>on corals and their resilience to global changes</w:t>
            </w:r>
            <w:r w:rsidRPr="00D13FE9">
              <w:rPr>
                <w:rFonts w:eastAsia="Calibri"/>
                <w:sz w:val="20"/>
                <w:szCs w:val="20"/>
                <w:lang w:val="en-US" w:eastAsia="de-DE"/>
              </w:rPr>
              <w:t xml:space="preserve"> using </w:t>
            </w:r>
            <w:r w:rsidRPr="00D13FE9">
              <w:rPr>
                <w:rFonts w:eastAsia="Calibri"/>
                <w:b/>
                <w:sz w:val="20"/>
                <w:szCs w:val="20"/>
                <w:lang w:val="en-US" w:eastAsia="de-DE"/>
              </w:rPr>
              <w:t>biogeochemical observations</w:t>
            </w:r>
            <w:r w:rsidRPr="00D13FE9">
              <w:rPr>
                <w:rFonts w:eastAsia="Calibri"/>
                <w:sz w:val="20"/>
                <w:szCs w:val="20"/>
                <w:lang w:val="en-US" w:eastAsia="de-DE"/>
              </w:rPr>
              <w:t xml:space="preserve"> (chemical elements, isotopes, growth parameters of corals, etc.).</w:t>
            </w:r>
            <w:r w:rsidRPr="00D13FE9">
              <w:rPr>
                <w:rFonts w:eastAsia="Calibri"/>
                <w:b/>
                <w:sz w:val="20"/>
                <w:szCs w:val="20"/>
                <w:lang w:val="en-US" w:eastAsia="de-DE"/>
              </w:rPr>
              <w:t> </w:t>
            </w:r>
            <w:r w:rsidRPr="00D13FE9">
              <w:rPr>
                <w:rFonts w:eastAsia="Calibri"/>
                <w:sz w:val="20"/>
                <w:szCs w:val="20"/>
                <w:lang w:val="en-US" w:eastAsia="de-DE"/>
              </w:rPr>
              <w:t xml:space="preserve">Main objectives of such expertise are consistent with: </w:t>
            </w:r>
          </w:p>
          <w:p w:rsidR="00D13FE9" w:rsidRDefault="00D13FE9" w:rsidP="00D13FE9">
            <w:pPr>
              <w:pStyle w:val="default0"/>
              <w:spacing w:before="0" w:beforeAutospacing="0" w:after="0" w:afterAutospacing="0"/>
              <w:rPr>
                <w:sz w:val="20"/>
                <w:szCs w:val="20"/>
                <w:lang w:val="de-DE" w:eastAsia="de-DE"/>
              </w:rPr>
            </w:pPr>
            <w:r>
              <w:rPr>
                <w:rFonts w:eastAsia="Calibri"/>
                <w:sz w:val="20"/>
                <w:szCs w:val="20"/>
                <w:lang w:val="en-US" w:eastAsia="de-DE"/>
              </w:rPr>
              <w:t xml:space="preserve">- </w:t>
            </w:r>
            <w:proofErr w:type="gramStart"/>
            <w:r>
              <w:rPr>
                <w:rFonts w:eastAsia="Calibri"/>
                <w:sz w:val="20"/>
                <w:szCs w:val="20"/>
                <w:lang w:val="en-US" w:eastAsia="de-DE"/>
              </w:rPr>
              <w:t>the</w:t>
            </w:r>
            <w:proofErr w:type="gramEnd"/>
            <w:r>
              <w:rPr>
                <w:rFonts w:eastAsia="Calibri"/>
                <w:sz w:val="20"/>
                <w:szCs w:val="20"/>
                <w:lang w:val="en-US" w:eastAsia="de-DE"/>
              </w:rPr>
              <w:t xml:space="preserve"> Sustainable Development Goals 13 “Take urgent action to combat climate change and its impacts” and 14 </w:t>
            </w:r>
            <w:r>
              <w:rPr>
                <w:rFonts w:eastAsia="Calibri"/>
                <w:sz w:val="20"/>
                <w:szCs w:val="20"/>
                <w:lang w:val="en-US" w:eastAsia="de-DE"/>
              </w:rPr>
              <w:lastRenderedPageBreak/>
              <w:t xml:space="preserve">“Conserve and sustainably use the oceans, seas and marine resources for sustainable development”, specifically target 14.3 “Minimize and address the impacts of ocean acidification, including through enhanced scientific cooperation at all levels”. </w:t>
            </w:r>
          </w:p>
          <w:p w:rsidR="00D13FE9" w:rsidRDefault="00D13FE9" w:rsidP="00D13FE9">
            <w:pPr>
              <w:pStyle w:val="default0"/>
              <w:spacing w:before="0" w:beforeAutospacing="0" w:after="0" w:afterAutospacing="0"/>
              <w:rPr>
                <w:sz w:val="20"/>
                <w:szCs w:val="20"/>
                <w:lang w:val="de-DE" w:eastAsia="de-DE"/>
              </w:rPr>
            </w:pPr>
            <w:r>
              <w:rPr>
                <w:rFonts w:eastAsia="Calibri"/>
                <w:sz w:val="20"/>
                <w:szCs w:val="20"/>
                <w:lang w:val="en-US" w:eastAsia="de-DE"/>
              </w:rPr>
              <w:t xml:space="preserve">- </w:t>
            </w:r>
            <w:proofErr w:type="gramStart"/>
            <w:r>
              <w:rPr>
                <w:rFonts w:eastAsia="Calibri"/>
                <w:sz w:val="20"/>
                <w:szCs w:val="20"/>
                <w:lang w:val="en-US" w:eastAsia="de-DE"/>
              </w:rPr>
              <w:t>with</w:t>
            </w:r>
            <w:proofErr w:type="gramEnd"/>
            <w:r>
              <w:rPr>
                <w:rFonts w:eastAsia="Calibri"/>
                <w:sz w:val="20"/>
                <w:szCs w:val="20"/>
                <w:lang w:val="en-US" w:eastAsia="de-DE"/>
              </w:rPr>
              <w:t xml:space="preserve"> the European objectives that focus on the protection of the biodiversity (</w:t>
            </w:r>
            <w:hyperlink r:id="rId12" w:history="1">
              <w:r>
                <w:rPr>
                  <w:rStyle w:val="Lienhypertexte"/>
                  <w:rFonts w:eastAsia="Calibri"/>
                  <w:sz w:val="20"/>
                  <w:szCs w:val="20"/>
                  <w:lang w:val="en-US" w:eastAsia="de-DE"/>
                </w:rPr>
                <w:t>https://biodiversity.europa.eu/</w:t>
              </w:r>
            </w:hyperlink>
            <w:r>
              <w:rPr>
                <w:rFonts w:eastAsia="Calibri"/>
                <w:sz w:val="20"/>
                <w:szCs w:val="20"/>
                <w:lang w:val="en-US" w:eastAsia="de-DE"/>
              </w:rPr>
              <w:t>).</w:t>
            </w:r>
          </w:p>
          <w:p w:rsidR="00D13FE9" w:rsidRDefault="00D13FE9" w:rsidP="00D13FE9">
            <w:pPr>
              <w:pStyle w:val="Default"/>
              <w:rPr>
                <w:rFonts w:eastAsia="Calibri"/>
                <w:sz w:val="20"/>
                <w:szCs w:val="20"/>
                <w:lang w:val="en-GB"/>
              </w:rPr>
            </w:pPr>
            <w:r>
              <w:rPr>
                <w:rFonts w:eastAsia="Calibri"/>
                <w:sz w:val="20"/>
                <w:szCs w:val="20"/>
                <w:lang w:val="en-US" w:eastAsia="de-DE"/>
              </w:rPr>
              <w:t xml:space="preserve">- </w:t>
            </w:r>
            <w:r w:rsidRPr="00D13FE9">
              <w:rPr>
                <w:rFonts w:ascii="Times New Roman" w:eastAsia="Calibri" w:hAnsi="Times New Roman" w:cs="Times New Roman"/>
                <w:color w:val="auto"/>
                <w:sz w:val="20"/>
                <w:szCs w:val="20"/>
                <w:lang w:val="en-US" w:eastAsia="de-DE"/>
              </w:rPr>
              <w:t>many Australian, UK and USA labs are working on the same topics but only a few in Europe and further European projects or initiatives could better structure and organize such kind of research in Europe</w:t>
            </w:r>
            <w:r w:rsidR="009A3FA4" w:rsidRPr="00D13FE9">
              <w:rPr>
                <w:rFonts w:ascii="Times New Roman" w:eastAsia="Calibri" w:hAnsi="Times New Roman" w:cs="Times New Roman"/>
                <w:color w:val="auto"/>
                <w:sz w:val="20"/>
                <w:szCs w:val="20"/>
                <w:lang w:val="en-US" w:eastAsia="de-DE"/>
              </w:rPr>
              <w:t>.</w:t>
            </w:r>
            <w:r w:rsidR="009A3FA4" w:rsidRPr="00D13FE9">
              <w:rPr>
                <w:rFonts w:eastAsia="Calibri"/>
                <w:sz w:val="20"/>
                <w:szCs w:val="20"/>
                <w:lang w:val="en-GB"/>
              </w:rPr>
              <w:t xml:space="preserve"> </w:t>
            </w:r>
          </w:p>
          <w:p w:rsidR="00E20C15" w:rsidRPr="00D13FE9" w:rsidRDefault="009A3FA4" w:rsidP="00D13FE9">
            <w:pPr>
              <w:pStyle w:val="Default"/>
              <w:rPr>
                <w:b/>
                <w:bCs/>
                <w:sz w:val="20"/>
                <w:szCs w:val="20"/>
              </w:rPr>
            </w:pPr>
            <w:r w:rsidRPr="00D13FE9">
              <w:rPr>
                <w:rFonts w:eastAsia="Calibri"/>
                <w:i/>
                <w:sz w:val="20"/>
                <w:szCs w:val="20"/>
              </w:rPr>
              <w:t xml:space="preserve">Main contact </w:t>
            </w:r>
            <w:proofErr w:type="spellStart"/>
            <w:r w:rsidRPr="00D13FE9">
              <w:rPr>
                <w:rFonts w:eastAsia="Calibri"/>
                <w:i/>
                <w:sz w:val="20"/>
                <w:szCs w:val="20"/>
              </w:rPr>
              <w:t>person</w:t>
            </w:r>
            <w:proofErr w:type="spellEnd"/>
            <w:r w:rsidRPr="00D13FE9">
              <w:rPr>
                <w:rFonts w:eastAsia="Calibri"/>
                <w:i/>
                <w:sz w:val="20"/>
                <w:szCs w:val="20"/>
              </w:rPr>
              <w:t xml:space="preserve">: </w:t>
            </w:r>
            <w:r w:rsidR="00D13FE9" w:rsidRPr="00D13FE9">
              <w:rPr>
                <w:rFonts w:eastAsia="Calibri"/>
                <w:i/>
                <w:sz w:val="20"/>
                <w:szCs w:val="20"/>
              </w:rPr>
              <w:t>Eric D</w:t>
            </w:r>
            <w:r w:rsidR="00D13FE9">
              <w:rPr>
                <w:rFonts w:eastAsia="Calibri"/>
                <w:i/>
                <w:sz w:val="20"/>
                <w:szCs w:val="20"/>
              </w:rPr>
              <w:t>OUVILLE</w:t>
            </w:r>
            <w:r w:rsidR="00D13FE9" w:rsidRPr="003D7E19">
              <w:rPr>
                <w:rFonts w:eastAsia="Calibri"/>
                <w:sz w:val="20"/>
                <w:szCs w:val="20"/>
                <w:lang w:eastAsia="de-DE"/>
              </w:rPr>
              <w:t xml:space="preserve">  </w:t>
            </w:r>
            <w:hyperlink r:id="rId13" w:history="1">
              <w:r w:rsidR="00D13FE9" w:rsidRPr="00D13FE9">
                <w:rPr>
                  <w:rStyle w:val="Lienhypertexte"/>
                  <w:rFonts w:eastAsia="Calibri"/>
                  <w:b/>
                  <w:sz w:val="20"/>
                  <w:szCs w:val="20"/>
                  <w:lang w:eastAsia="de-DE"/>
                </w:rPr>
                <w:t>eric.douville@lsce.ipsl.fr</w:t>
              </w:r>
            </w:hyperlink>
            <w:r w:rsidR="00D13FE9">
              <w:rPr>
                <w:rFonts w:eastAsia="Calibri"/>
                <w:sz w:val="20"/>
                <w:szCs w:val="20"/>
                <w:lang w:eastAsia="de-DE"/>
              </w:rPr>
              <w:t xml:space="preserve"> </w:t>
            </w:r>
          </w:p>
          <w:p w:rsidR="009A3FA4" w:rsidRPr="00D13FE9" w:rsidRDefault="009A3FA4" w:rsidP="009A3FA4">
            <w:pPr>
              <w:pStyle w:val="Default"/>
              <w:ind w:left="142"/>
              <w:rPr>
                <w:b/>
                <w:bCs/>
                <w:sz w:val="20"/>
                <w:szCs w:val="20"/>
              </w:rPr>
            </w:pPr>
          </w:p>
          <w:p w:rsidR="00A44A03" w:rsidRPr="00A44A03" w:rsidRDefault="00E71B15" w:rsidP="00A44A03">
            <w:pPr>
              <w:pStyle w:val="Default"/>
              <w:numPr>
                <w:ilvl w:val="0"/>
                <w:numId w:val="13"/>
              </w:numPr>
              <w:ind w:left="142" w:hanging="284"/>
              <w:rPr>
                <w:rFonts w:eastAsia="Calibri"/>
                <w:sz w:val="20"/>
                <w:szCs w:val="20"/>
                <w:lang w:val="en-US"/>
              </w:rPr>
            </w:pPr>
            <w:r w:rsidRPr="00D13FE9">
              <w:rPr>
                <w:bCs/>
                <w:sz w:val="20"/>
                <w:szCs w:val="20"/>
                <w:lang w:val="en-GB"/>
              </w:rPr>
              <w:t>At</w:t>
            </w:r>
            <w:r w:rsidRPr="00D13FE9">
              <w:rPr>
                <w:b/>
                <w:bCs/>
                <w:sz w:val="20"/>
                <w:szCs w:val="20"/>
                <w:lang w:val="en-GB"/>
              </w:rPr>
              <w:t xml:space="preserve"> </w:t>
            </w:r>
            <w:hyperlink r:id="rId14" w:history="1">
              <w:r w:rsidRPr="00A44A03">
                <w:rPr>
                  <w:rStyle w:val="Lienhypertexte"/>
                  <w:sz w:val="20"/>
                  <w:szCs w:val="20"/>
                  <w:lang w:val="en-GB"/>
                </w:rPr>
                <w:t>DRF/ LSCE/</w:t>
              </w:r>
              <w:proofErr w:type="spellStart"/>
              <w:r w:rsidR="00A44A03" w:rsidRPr="00A44A03">
                <w:rPr>
                  <w:rStyle w:val="Lienhypertexte"/>
                  <w:sz w:val="20"/>
                  <w:szCs w:val="20"/>
                  <w:lang w:val="en-GB"/>
                </w:rPr>
                <w:t>Cycle&amp;Transfert</w:t>
              </w:r>
              <w:proofErr w:type="spellEnd"/>
              <w:r w:rsidR="00A44A03" w:rsidRPr="00A44A03">
                <w:rPr>
                  <w:rStyle w:val="Lienhypertexte"/>
                  <w:sz w:val="20"/>
                  <w:szCs w:val="20"/>
                  <w:lang w:val="en-GB"/>
                </w:rPr>
                <w:t>/MOSAIC</w:t>
              </w:r>
            </w:hyperlink>
            <w:r w:rsidRPr="00D13FE9">
              <w:rPr>
                <w:rFonts w:eastAsia="Calibri"/>
                <w:b/>
                <w:sz w:val="20"/>
                <w:szCs w:val="20"/>
                <w:lang w:val="en-GB"/>
              </w:rPr>
              <w:t>:</w:t>
            </w:r>
            <w:r w:rsidRPr="00D13FE9">
              <w:rPr>
                <w:rFonts w:eastAsia="Calibri"/>
                <w:sz w:val="20"/>
                <w:szCs w:val="20"/>
                <w:lang w:val="en-US" w:eastAsia="de-DE"/>
              </w:rPr>
              <w:t xml:space="preserve"> </w:t>
            </w:r>
            <w:r w:rsidR="00A44A03" w:rsidRPr="00A44A03">
              <w:rPr>
                <w:rFonts w:eastAsia="Calibri"/>
                <w:b/>
                <w:sz w:val="20"/>
                <w:szCs w:val="20"/>
                <w:lang w:val="en-US"/>
              </w:rPr>
              <w:t>Improve large scale vegetation models</w:t>
            </w:r>
            <w:r w:rsidR="00A44A03">
              <w:rPr>
                <w:rFonts w:eastAsia="Calibri"/>
                <w:sz w:val="20"/>
                <w:szCs w:val="20"/>
                <w:lang w:val="en-US"/>
              </w:rPr>
              <w:t xml:space="preserve"> to better represent </w:t>
            </w:r>
            <w:r w:rsidR="00A44A03" w:rsidRPr="00A44A03">
              <w:rPr>
                <w:rFonts w:eastAsia="Calibri"/>
                <w:b/>
                <w:sz w:val="20"/>
                <w:szCs w:val="20"/>
                <w:lang w:val="en-US"/>
              </w:rPr>
              <w:t>ecosystems adaptation to climate change</w:t>
            </w:r>
            <w:r w:rsidR="00A44A03">
              <w:rPr>
                <w:rFonts w:eastAsia="Calibri"/>
                <w:sz w:val="20"/>
                <w:szCs w:val="20"/>
                <w:lang w:val="en-US"/>
              </w:rPr>
              <w:t xml:space="preserve"> (plasticity of functional traits) and </w:t>
            </w:r>
            <w:r w:rsidR="00A44A03" w:rsidRPr="00A44A03">
              <w:rPr>
                <w:rFonts w:eastAsia="Calibri"/>
                <w:b/>
                <w:sz w:val="20"/>
                <w:szCs w:val="20"/>
                <w:lang w:val="en-US"/>
              </w:rPr>
              <w:t xml:space="preserve">impact of biodiversity richness on ecosystems </w:t>
            </w:r>
            <w:proofErr w:type="spellStart"/>
            <w:r w:rsidR="00A44A03" w:rsidRPr="00A44A03">
              <w:rPr>
                <w:rFonts w:eastAsia="Calibri"/>
                <w:b/>
                <w:sz w:val="20"/>
                <w:szCs w:val="20"/>
                <w:lang w:val="en-US"/>
              </w:rPr>
              <w:t>services</w:t>
            </w:r>
            <w:r w:rsidR="00A44A03">
              <w:rPr>
                <w:rFonts w:eastAsia="Calibri"/>
                <w:sz w:val="20"/>
                <w:szCs w:val="20"/>
                <w:lang w:val="en-US"/>
              </w:rPr>
              <w:t>.</w:t>
            </w:r>
            <w:r w:rsidR="00A44A03" w:rsidRPr="00A44A03">
              <w:rPr>
                <w:rFonts w:eastAsia="Calibri"/>
                <w:sz w:val="20"/>
                <w:szCs w:val="20"/>
                <w:lang w:val="en-US"/>
              </w:rPr>
              <w:t>Targets</w:t>
            </w:r>
            <w:proofErr w:type="spellEnd"/>
            <w:r w:rsidR="00A44A03" w:rsidRPr="00A44A03">
              <w:rPr>
                <w:rFonts w:eastAsia="Calibri"/>
                <w:sz w:val="20"/>
                <w:szCs w:val="20"/>
                <w:lang w:val="en-US"/>
              </w:rPr>
              <w:t>:</w:t>
            </w:r>
          </w:p>
          <w:p w:rsidR="00A44A03" w:rsidRPr="007907A4" w:rsidRDefault="00A44A03" w:rsidP="00A44A03">
            <w:pPr>
              <w:pStyle w:val="Default"/>
              <w:rPr>
                <w:rFonts w:eastAsia="Calibri"/>
                <w:sz w:val="20"/>
                <w:szCs w:val="20"/>
                <w:lang w:val="en-GB"/>
              </w:rPr>
            </w:pPr>
            <w:r>
              <w:rPr>
                <w:rFonts w:eastAsia="Calibri"/>
                <w:sz w:val="20"/>
                <w:szCs w:val="20"/>
                <w:lang w:val="en-US"/>
              </w:rPr>
              <w:t>1/</w:t>
            </w:r>
            <w:r w:rsidRPr="00A44A03">
              <w:rPr>
                <w:b/>
                <w:sz w:val="20"/>
                <w:szCs w:val="20"/>
                <w:lang w:val="en-GB"/>
              </w:rPr>
              <w:t>enhance natural carbon sinks</w:t>
            </w:r>
            <w:r w:rsidRPr="007907A4">
              <w:rPr>
                <w:sz w:val="20"/>
                <w:szCs w:val="20"/>
                <w:lang w:val="en-GB"/>
              </w:rPr>
              <w:t xml:space="preserve"> and </w:t>
            </w:r>
            <w:r w:rsidRPr="00A44A03">
              <w:rPr>
                <w:b/>
                <w:sz w:val="20"/>
                <w:szCs w:val="20"/>
                <w:lang w:val="en-GB"/>
              </w:rPr>
              <w:t>reduce greenhouse gas emissions</w:t>
            </w:r>
            <w:r w:rsidRPr="007907A4">
              <w:rPr>
                <w:sz w:val="20"/>
                <w:szCs w:val="20"/>
                <w:lang w:val="en-GB"/>
              </w:rPr>
              <w:t>,</w:t>
            </w:r>
            <w:r>
              <w:rPr>
                <w:sz w:val="20"/>
                <w:szCs w:val="20"/>
                <w:lang w:val="en-GB"/>
              </w:rPr>
              <w:t xml:space="preserve"> </w:t>
            </w:r>
            <w:r w:rsidRPr="00A44A03">
              <w:rPr>
                <w:b/>
                <w:sz w:val="20"/>
                <w:szCs w:val="20"/>
                <w:lang w:val="en-GB"/>
              </w:rPr>
              <w:t>locally reverse the degradation of ecosystems</w:t>
            </w:r>
            <w:r w:rsidRPr="007907A4">
              <w:rPr>
                <w:sz w:val="20"/>
                <w:szCs w:val="20"/>
                <w:lang w:val="en-GB"/>
              </w:rPr>
              <w:t xml:space="preserve">, </w:t>
            </w:r>
            <w:r w:rsidRPr="00A44A03">
              <w:rPr>
                <w:b/>
                <w:sz w:val="20"/>
                <w:szCs w:val="20"/>
                <w:lang w:val="en-GB"/>
              </w:rPr>
              <w:t>increase connectivity</w:t>
            </w:r>
            <w:r w:rsidRPr="007907A4">
              <w:rPr>
                <w:sz w:val="20"/>
                <w:szCs w:val="20"/>
                <w:lang w:val="en-GB"/>
              </w:rPr>
              <w:t>,</w:t>
            </w:r>
            <w:r>
              <w:rPr>
                <w:sz w:val="20"/>
                <w:szCs w:val="20"/>
                <w:lang w:val="en-GB"/>
              </w:rPr>
              <w:t xml:space="preserve"> </w:t>
            </w:r>
            <w:r w:rsidRPr="007907A4">
              <w:rPr>
                <w:sz w:val="20"/>
                <w:szCs w:val="20"/>
                <w:lang w:val="en-GB"/>
              </w:rPr>
              <w:t>and i</w:t>
            </w:r>
            <w:r w:rsidRPr="00A44A03">
              <w:rPr>
                <w:b/>
                <w:sz w:val="20"/>
                <w:szCs w:val="20"/>
                <w:lang w:val="en-GB"/>
              </w:rPr>
              <w:t>mprove the delivery of a range of ecosystem service</w:t>
            </w:r>
            <w:r w:rsidRPr="007907A4">
              <w:rPr>
                <w:sz w:val="20"/>
                <w:szCs w:val="20"/>
                <w:lang w:val="en-GB"/>
              </w:rPr>
              <w:t>s</w:t>
            </w:r>
          </w:p>
          <w:p w:rsidR="00A44A03" w:rsidRPr="007907A4" w:rsidRDefault="00A44A03" w:rsidP="00A44A03">
            <w:pPr>
              <w:pStyle w:val="Default"/>
              <w:rPr>
                <w:rFonts w:eastAsia="Calibri"/>
                <w:sz w:val="20"/>
                <w:szCs w:val="20"/>
                <w:lang w:val="en-GB"/>
              </w:rPr>
            </w:pPr>
            <w:r>
              <w:rPr>
                <w:rFonts w:eastAsia="Calibri"/>
                <w:sz w:val="20"/>
                <w:szCs w:val="20"/>
                <w:lang w:val="en-US"/>
              </w:rPr>
              <w:t xml:space="preserve">2/ </w:t>
            </w:r>
            <w:r w:rsidRPr="007907A4">
              <w:rPr>
                <w:sz w:val="20"/>
                <w:szCs w:val="20"/>
                <w:lang w:val="en-GB"/>
              </w:rPr>
              <w:t xml:space="preserve">provide </w:t>
            </w:r>
            <w:r w:rsidRPr="00A44A03">
              <w:rPr>
                <w:b/>
                <w:sz w:val="20"/>
                <w:szCs w:val="20"/>
                <w:lang w:val="en-GB"/>
              </w:rPr>
              <w:t>testing at large scale of support actions to the EU comm</w:t>
            </w:r>
            <w:r w:rsidRPr="007907A4">
              <w:rPr>
                <w:sz w:val="20"/>
                <w:szCs w:val="20"/>
                <w:lang w:val="en-GB"/>
              </w:rPr>
              <w:t xml:space="preserve">itment to reduce </w:t>
            </w:r>
            <w:proofErr w:type="spellStart"/>
            <w:r w:rsidRPr="007907A4">
              <w:rPr>
                <w:sz w:val="20"/>
                <w:szCs w:val="20"/>
                <w:lang w:val="en-GB"/>
              </w:rPr>
              <w:t>emissionsby</w:t>
            </w:r>
            <w:proofErr w:type="spellEnd"/>
            <w:r w:rsidRPr="007907A4">
              <w:rPr>
                <w:sz w:val="20"/>
                <w:szCs w:val="20"/>
                <w:lang w:val="en-GB"/>
              </w:rPr>
              <w:t xml:space="preserve"> 50-55% by 2030 and become climate-neutral by 2050</w:t>
            </w:r>
          </w:p>
          <w:p w:rsidR="00F707D9" w:rsidRDefault="00A44A03" w:rsidP="00A44A03">
            <w:pPr>
              <w:pStyle w:val="Default"/>
              <w:rPr>
                <w:rFonts w:eastAsia="Calibri"/>
                <w:b/>
                <w:sz w:val="20"/>
                <w:szCs w:val="20"/>
              </w:rPr>
            </w:pPr>
            <w:r w:rsidRPr="00D13FE9">
              <w:rPr>
                <w:rFonts w:eastAsia="Calibri"/>
                <w:i/>
                <w:sz w:val="20"/>
                <w:szCs w:val="20"/>
              </w:rPr>
              <w:t xml:space="preserve">Main contact </w:t>
            </w:r>
            <w:proofErr w:type="spellStart"/>
            <w:r w:rsidRPr="00D13FE9">
              <w:rPr>
                <w:rFonts w:eastAsia="Calibri"/>
                <w:i/>
                <w:sz w:val="20"/>
                <w:szCs w:val="20"/>
              </w:rPr>
              <w:t>person</w:t>
            </w:r>
            <w:proofErr w:type="spellEnd"/>
            <w:r w:rsidRPr="00D13FE9">
              <w:rPr>
                <w:rFonts w:eastAsia="Calibri"/>
                <w:i/>
                <w:sz w:val="20"/>
                <w:szCs w:val="20"/>
              </w:rPr>
              <w:t>:</w:t>
            </w:r>
            <w:r>
              <w:rPr>
                <w:rFonts w:eastAsia="Calibri"/>
                <w:i/>
                <w:sz w:val="20"/>
                <w:szCs w:val="20"/>
              </w:rPr>
              <w:t xml:space="preserve"> Nicolas VIOVY </w:t>
            </w:r>
            <w:hyperlink r:id="rId15" w:history="1">
              <w:r w:rsidRPr="00A44A03">
                <w:rPr>
                  <w:rStyle w:val="Lienhypertexte"/>
                  <w:rFonts w:eastAsia="Calibri"/>
                  <w:b/>
                  <w:sz w:val="20"/>
                  <w:szCs w:val="20"/>
                </w:rPr>
                <w:t>nicolas.viovy@lsce.ipsl.fr</w:t>
              </w:r>
            </w:hyperlink>
            <w:r w:rsidRPr="00A44A03">
              <w:rPr>
                <w:rFonts w:eastAsia="Calibri"/>
                <w:b/>
                <w:sz w:val="20"/>
                <w:szCs w:val="20"/>
              </w:rPr>
              <w:t xml:space="preserve"> </w:t>
            </w:r>
          </w:p>
          <w:p w:rsidR="00DC7A60" w:rsidRDefault="00DC7A60" w:rsidP="00A44A03">
            <w:pPr>
              <w:pStyle w:val="Default"/>
              <w:rPr>
                <w:rFonts w:eastAsia="Calibri"/>
                <w:b/>
                <w:sz w:val="20"/>
                <w:szCs w:val="20"/>
              </w:rPr>
            </w:pPr>
          </w:p>
          <w:p w:rsidR="00DC7A60" w:rsidRPr="0002055E" w:rsidRDefault="00DC7A60" w:rsidP="00DC7A60">
            <w:pPr>
              <w:pStyle w:val="Default"/>
              <w:rPr>
                <w:b/>
                <w:bCs/>
                <w:sz w:val="20"/>
                <w:szCs w:val="20"/>
                <w:lang w:val="en-US"/>
              </w:rPr>
            </w:pPr>
            <w:bookmarkStart w:id="0" w:name="_GoBack"/>
            <w:bookmarkEnd w:id="0"/>
          </w:p>
          <w:p w:rsidR="00DC7A60" w:rsidRDefault="00DC7A60" w:rsidP="00DC7A60">
            <w:pPr>
              <w:pStyle w:val="Paragraphedeliste"/>
              <w:numPr>
                <w:ilvl w:val="0"/>
                <w:numId w:val="12"/>
              </w:numPr>
              <w:ind w:left="142" w:hanging="284"/>
            </w:pPr>
            <w:r w:rsidRPr="00BC5C11">
              <w:rPr>
                <w:rFonts w:ascii="Arial" w:eastAsia="Calibri" w:hAnsi="Arial" w:cs="Arial"/>
                <w:bCs/>
                <w:color w:val="000000"/>
                <w:sz w:val="20"/>
                <w:szCs w:val="20"/>
                <w:lang w:val="en-US" w:eastAsia="en-US"/>
              </w:rPr>
              <w:t>At I2BC(</w:t>
            </w:r>
            <w:hyperlink r:id="rId16" w:history="1">
              <w:r w:rsidRPr="00BA0CEA">
                <w:rPr>
                  <w:rStyle w:val="Lienhypertexte"/>
                  <w:rFonts w:ascii="Arial" w:eastAsia="Calibri" w:hAnsi="Arial" w:cs="Arial"/>
                  <w:bCs/>
                  <w:sz w:val="20"/>
                  <w:szCs w:val="20"/>
                  <w:lang w:val="en-US" w:eastAsia="en-US"/>
                </w:rPr>
                <w:t>DRF/JOLIOT/I2BC</w:t>
              </w:r>
            </w:hyperlink>
            <w:r w:rsidRPr="00BC5C11">
              <w:rPr>
                <w:rFonts w:ascii="Arial" w:eastAsia="Calibri" w:hAnsi="Arial" w:cs="Arial"/>
                <w:bCs/>
                <w:color w:val="000000"/>
                <w:sz w:val="20"/>
                <w:szCs w:val="20"/>
                <w:lang w:val="en-US" w:eastAsia="en-US"/>
              </w:rPr>
              <w:t>), the “</w:t>
            </w:r>
            <w:r w:rsidRPr="00BC5C11">
              <w:rPr>
                <w:rFonts w:ascii="Arial" w:eastAsia="Calibri" w:hAnsi="Arial" w:cs="Arial"/>
                <w:color w:val="000000"/>
                <w:sz w:val="20"/>
                <w:szCs w:val="20"/>
                <w:lang w:val="en-US" w:eastAsia="en-US"/>
              </w:rPr>
              <w:t>Biochemistry, Biophysics and Structural Biology</w:t>
            </w:r>
            <w:r w:rsidRPr="00BC5C11">
              <w:rPr>
                <w:rFonts w:ascii="Arial" w:eastAsia="Calibri" w:hAnsi="Arial" w:cs="Arial"/>
                <w:b/>
                <w:bCs/>
                <w:color w:val="000000"/>
                <w:sz w:val="20"/>
                <w:szCs w:val="20"/>
                <w:lang w:val="en-US" w:eastAsia="en-US"/>
              </w:rPr>
              <w:t xml:space="preserve">” </w:t>
            </w:r>
            <w:r w:rsidRPr="00BC5C11">
              <w:rPr>
                <w:rFonts w:ascii="Arial" w:eastAsia="Calibri" w:hAnsi="Arial" w:cs="Arial"/>
                <w:bCs/>
                <w:color w:val="000000"/>
                <w:sz w:val="20"/>
                <w:szCs w:val="20"/>
                <w:lang w:val="en-US" w:eastAsia="en-US"/>
              </w:rPr>
              <w:t xml:space="preserve">department is involved in the following activities: </w:t>
            </w:r>
            <w:r w:rsidRPr="00BA0CEA">
              <w:rPr>
                <w:b/>
              </w:rPr>
              <w:t>Photosynthetic organism</w:t>
            </w:r>
            <w:r>
              <w:t xml:space="preserve">; </w:t>
            </w:r>
            <w:r w:rsidRPr="00BA0CEA">
              <w:rPr>
                <w:b/>
              </w:rPr>
              <w:t>Bioremediation</w:t>
            </w:r>
            <w:r>
              <w:t xml:space="preserve">; </w:t>
            </w:r>
          </w:p>
          <w:p w:rsidR="00DC7A60" w:rsidRDefault="00DC7A60" w:rsidP="00DC7A60">
            <w:r w:rsidRPr="00BA0CEA">
              <w:rPr>
                <w:b/>
              </w:rPr>
              <w:t>Removal of toxic heavy metals from soil or polluted water</w:t>
            </w:r>
            <w:r>
              <w:t xml:space="preserve">;  </w:t>
            </w:r>
            <w:r w:rsidRPr="00BA0CEA">
              <w:rPr>
                <w:b/>
              </w:rPr>
              <w:t>Monitoring (heavy metals +</w:t>
            </w:r>
            <w:proofErr w:type="spellStart"/>
            <w:r w:rsidRPr="00BA0CEA">
              <w:rPr>
                <w:b/>
              </w:rPr>
              <w:t>PFAS+herbicides</w:t>
            </w:r>
            <w:proofErr w:type="spellEnd"/>
            <w:r w:rsidRPr="00BA0CEA">
              <w:rPr>
                <w:b/>
              </w:rPr>
              <w:t>)</w:t>
            </w:r>
            <w:r>
              <w:t xml:space="preserve"> via alterations of photosynthesis; </w:t>
            </w:r>
            <w:r w:rsidRPr="00BA0CEA">
              <w:rPr>
                <w:b/>
              </w:rPr>
              <w:t>Plants- soil;</w:t>
            </w:r>
            <w:r>
              <w:t xml:space="preserve"> </w:t>
            </w:r>
            <w:proofErr w:type="spellStart"/>
            <w:r>
              <w:t>Alage</w:t>
            </w:r>
            <w:proofErr w:type="spellEnd"/>
            <w:r>
              <w:t xml:space="preserve"> aquatic freshwater + marine </w:t>
            </w:r>
          </w:p>
          <w:p w:rsidR="00DC7A60" w:rsidRDefault="00DC7A60" w:rsidP="00DC7A60">
            <w:pPr>
              <w:rPr>
                <w:b/>
              </w:rPr>
            </w:pPr>
            <w:r>
              <w:t xml:space="preserve">Moss lichens : air; Chlorophyll fluorescence, </w:t>
            </w:r>
            <w:r w:rsidRPr="00BA0CEA">
              <w:rPr>
                <w:b/>
              </w:rPr>
              <w:t>advanced spectroscopy</w:t>
            </w:r>
            <w:r>
              <w:t xml:space="preserve">; </w:t>
            </w:r>
            <w:proofErr w:type="spellStart"/>
            <w:r w:rsidRPr="00BA0CEA">
              <w:rPr>
                <w:b/>
              </w:rPr>
              <w:t>Antioxydant</w:t>
            </w:r>
            <w:proofErr w:type="spellEnd"/>
            <w:r w:rsidRPr="00BA0CEA">
              <w:rPr>
                <w:b/>
              </w:rPr>
              <w:t xml:space="preserve"> system (ROS EPR, enzymatic activities, biochemistry)</w:t>
            </w:r>
            <w:r>
              <w:t xml:space="preserve">; </w:t>
            </w:r>
            <w:r w:rsidRPr="00BA0CEA">
              <w:rPr>
                <w:b/>
              </w:rPr>
              <w:t>Photosynthetic apparatus/light reactions</w:t>
            </w:r>
          </w:p>
          <w:p w:rsidR="00DC7A60" w:rsidRDefault="00DC7A60" w:rsidP="00DC7A60">
            <w:pPr>
              <w:rPr>
                <w:rStyle w:val="Lienhypertexte"/>
                <w:rFonts w:eastAsia="Calibri"/>
                <w:b/>
                <w:sz w:val="20"/>
                <w:szCs w:val="20"/>
              </w:rPr>
            </w:pPr>
            <w:r w:rsidRPr="00BA0CEA">
              <w:rPr>
                <w:rFonts w:ascii="Arial" w:eastAsia="Calibri" w:hAnsi="Arial" w:cs="Arial"/>
                <w:i/>
                <w:color w:val="000000"/>
                <w:sz w:val="20"/>
                <w:szCs w:val="20"/>
                <w:lang w:eastAsia="en-US"/>
              </w:rPr>
              <w:t>Main contact person:</w:t>
            </w:r>
            <w:r>
              <w:rPr>
                <w:rFonts w:ascii="Arial" w:eastAsia="Calibri" w:hAnsi="Arial" w:cs="Arial"/>
                <w:i/>
                <w:color w:val="000000"/>
                <w:sz w:val="20"/>
                <w:szCs w:val="20"/>
                <w:lang w:eastAsia="en-US"/>
              </w:rPr>
              <w:t xml:space="preserve"> Anja KRIEGER-LISZKAY </w:t>
            </w:r>
            <w:hyperlink r:id="rId17" w:history="1">
              <w:r w:rsidRPr="00E54671">
                <w:rPr>
                  <w:rStyle w:val="Lienhypertexte"/>
                  <w:rFonts w:eastAsia="Calibri"/>
                  <w:b/>
                  <w:sz w:val="20"/>
                  <w:szCs w:val="20"/>
                </w:rPr>
                <w:t>anja.krieger-liszkay@cea.fr</w:t>
              </w:r>
            </w:hyperlink>
          </w:p>
          <w:p w:rsidR="00DC7A60" w:rsidRPr="00A44A03" w:rsidRDefault="00DC7A60" w:rsidP="00A44A03">
            <w:pPr>
              <w:pStyle w:val="Default"/>
              <w:rPr>
                <w:rFonts w:eastAsia="Calibri"/>
                <w:sz w:val="20"/>
                <w:szCs w:val="20"/>
                <w:lang w:eastAsia="de-DE"/>
              </w:rPr>
            </w:pPr>
          </w:p>
          <w:p w:rsidR="00E71B15" w:rsidRPr="00A44A03" w:rsidRDefault="00E71B15" w:rsidP="00880696">
            <w:pPr>
              <w:pStyle w:val="Default"/>
              <w:ind w:left="720"/>
              <w:rPr>
                <w:rFonts w:eastAsia="Calibri"/>
                <w:b/>
                <w:sz w:val="20"/>
                <w:szCs w:val="20"/>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C245B7" w:rsidP="00F33004">
            <w:pPr>
              <w:rPr>
                <w:rFonts w:ascii="Arial" w:hAnsi="Arial" w:cs="Arial"/>
                <w:b/>
                <w:sz w:val="20"/>
                <w:szCs w:val="20"/>
                <w:highlight w:val="yellow"/>
              </w:rPr>
            </w:pPr>
            <w:r w:rsidRPr="00F43183">
              <w:rPr>
                <w:rFonts w:ascii="Arial" w:hAnsi="Arial" w:cs="Arial"/>
                <w:b/>
                <w:sz w:val="20"/>
                <w:szCs w:val="20"/>
              </w:rPr>
              <w:t>The French Alternative Energies and Atomic Energy Commission (CEA), France</w:t>
            </w:r>
          </w:p>
        </w:tc>
      </w:tr>
      <w:tr w:rsidR="00F707D9" w:rsidRPr="00AB0435" w:rsidTr="00F33004">
        <w:trPr>
          <w:trHeight w:val="555"/>
        </w:trPr>
        <w:tc>
          <w:tcPr>
            <w:tcW w:w="9576" w:type="dxa"/>
          </w:tcPr>
          <w:p w:rsidR="00C245B7" w:rsidRPr="00AB0435" w:rsidRDefault="00F707D9" w:rsidP="00C245B7">
            <w:pPr>
              <w:rPr>
                <w:rFonts w:ascii="Arial" w:hAnsi="Arial" w:cs="Arial"/>
                <w:b/>
                <w:sz w:val="20"/>
                <w:szCs w:val="20"/>
              </w:rPr>
            </w:pPr>
            <w:r w:rsidRPr="00AB0435">
              <w:rPr>
                <w:rFonts w:ascii="Arial" w:hAnsi="Arial" w:cs="Arial"/>
                <w:b/>
                <w:sz w:val="20"/>
                <w:szCs w:val="20"/>
              </w:rPr>
              <w:t>Type of organisation:</w:t>
            </w:r>
            <w:r w:rsidR="00C245B7" w:rsidRPr="00AB0435">
              <w:rPr>
                <w:rFonts w:ascii="Arial" w:hAnsi="Arial" w:cs="Arial"/>
                <w:b/>
                <w:sz w:val="20"/>
                <w:szCs w:val="20"/>
              </w:rPr>
              <w:t xml:space="preserve"> </w:t>
            </w:r>
          </w:p>
          <w:p w:rsidR="00F707D9" w:rsidRPr="00AB0435" w:rsidRDefault="00C245B7" w:rsidP="00C245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F43183">
              <w:rPr>
                <w:rFonts w:ascii="Arial" w:hAnsi="Arial" w:cs="Arial"/>
                <w:b/>
                <w:szCs w:val="28"/>
              </w:rPr>
              <w:sym w:font="Wingdings" w:char="F078"/>
            </w:r>
            <w:r>
              <w:rPr>
                <w:rFonts w:ascii="Arial" w:hAnsi="Arial" w:cs="Arial"/>
                <w:b/>
                <w:szCs w:val="28"/>
              </w:rPr>
              <w:t xml:space="preserve"> </w:t>
            </w:r>
            <w:r w:rsidRPr="00AB0435">
              <w:rPr>
                <w:rFonts w:ascii="Arial" w:hAnsi="Arial" w:cs="Arial"/>
                <w:b/>
                <w:sz w:val="20"/>
                <w:szCs w:val="20"/>
              </w:rPr>
              <w:t xml:space="preserve">Academic </w:t>
            </w:r>
            <w:r w:rsidRPr="00F43183">
              <w:rPr>
                <w:rFonts w:ascii="Arial" w:hAnsi="Arial" w:cs="Arial"/>
                <w:b/>
                <w:szCs w:val="28"/>
              </w:rPr>
              <w:sym w:font="Wingdings" w:char="F078"/>
            </w:r>
            <w:r>
              <w:rPr>
                <w:rFonts w:ascii="Arial" w:hAnsi="Arial" w:cs="Arial"/>
                <w:b/>
                <w:szCs w:val="28"/>
              </w:rPr>
              <w:t xml:space="preserve"> </w:t>
            </w:r>
            <w:r w:rsidRPr="00AB0435">
              <w:rPr>
                <w:rFonts w:ascii="Arial" w:hAnsi="Arial" w:cs="Arial"/>
                <w:b/>
                <w:sz w:val="20"/>
                <w:szCs w:val="20"/>
              </w:rPr>
              <w:t>Research institute</w:t>
            </w:r>
            <w:r w:rsidRPr="00AB0435">
              <w:rPr>
                <w:rFonts w:ascii="Arial" w:hAnsi="Arial" w:cs="Arial"/>
                <w:b/>
                <w:sz w:val="28"/>
                <w:szCs w:val="28"/>
              </w:rPr>
              <w:t xml:space="preserve"> </w:t>
            </w:r>
            <w:r w:rsidRPr="00F43183">
              <w:rPr>
                <w:rFonts w:ascii="Arial" w:hAnsi="Arial" w:cs="Arial"/>
                <w:b/>
                <w:szCs w:val="28"/>
              </w:rPr>
              <w:sym w:font="Wingdings" w:char="F078"/>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C245B7" w:rsidRPr="00AB0435" w:rsidRDefault="00F707D9" w:rsidP="00C245B7">
            <w:pPr>
              <w:rPr>
                <w:rFonts w:ascii="Arial" w:hAnsi="Arial" w:cs="Arial"/>
                <w:b/>
                <w:sz w:val="20"/>
                <w:szCs w:val="20"/>
                <w:highlight w:val="yellow"/>
              </w:rPr>
            </w:pPr>
            <w:r w:rsidRPr="00AB0435">
              <w:rPr>
                <w:rFonts w:ascii="Arial" w:hAnsi="Arial" w:cs="Arial"/>
                <w:b/>
                <w:sz w:val="20"/>
                <w:szCs w:val="20"/>
              </w:rPr>
              <w:t>Former participation in FP European projects?</w:t>
            </w:r>
            <w:r w:rsidR="00C245B7" w:rsidRPr="00AB0435">
              <w:rPr>
                <w:rFonts w:ascii="Arial" w:hAnsi="Arial" w:cs="Arial"/>
                <w:b/>
                <w:sz w:val="20"/>
                <w:szCs w:val="20"/>
                <w:highlight w:val="yellow"/>
              </w:rPr>
              <w:t xml:space="preserve"> </w:t>
            </w:r>
          </w:p>
          <w:p w:rsidR="00F707D9" w:rsidRPr="00AB0435" w:rsidRDefault="00C245B7" w:rsidP="00C245B7">
            <w:pPr>
              <w:rPr>
                <w:rFonts w:ascii="Arial" w:hAnsi="Arial" w:cs="Arial"/>
                <w:b/>
                <w:sz w:val="20"/>
                <w:szCs w:val="20"/>
                <w:highlight w:val="yellow"/>
              </w:rPr>
            </w:pPr>
            <w:r w:rsidRPr="00F43183">
              <w:rPr>
                <w:rFonts w:ascii="Arial" w:hAnsi="Arial" w:cs="Arial"/>
                <w:b/>
                <w:szCs w:val="28"/>
              </w:rPr>
              <w:sym w:font="Wingdings" w:char="F078"/>
            </w:r>
            <w:r w:rsidRPr="00AB0435">
              <w:rPr>
                <w:rFonts w:ascii="Arial" w:hAnsi="Arial" w:cs="Arial"/>
                <w:b/>
                <w:sz w:val="20"/>
                <w:szCs w:val="20"/>
              </w:rPr>
              <w:t xml:space="preserve"> 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C245B7" w:rsidRDefault="00460FA8" w:rsidP="00F33004">
            <w:pPr>
              <w:rPr>
                <w:rFonts w:ascii="Arial" w:hAnsi="Arial" w:cs="Arial"/>
                <w:b/>
                <w:sz w:val="20"/>
                <w:szCs w:val="20"/>
                <w:highlight w:val="yellow"/>
              </w:rPr>
            </w:pPr>
            <w:hyperlink r:id="rId18" w:history="1">
              <w:r w:rsidR="00BC5C11" w:rsidRPr="008F131A">
                <w:rPr>
                  <w:rStyle w:val="Lienhypertexte"/>
                  <w:rFonts w:ascii="Arial" w:hAnsi="Arial" w:cs="Arial"/>
                  <w:b/>
                  <w:sz w:val="20"/>
                  <w:szCs w:val="20"/>
                </w:rPr>
                <w:t>http://www.cea.fr/english</w:t>
              </w:r>
            </w:hyperlink>
            <w:r w:rsidR="00C245B7">
              <w:rPr>
                <w:rFonts w:ascii="Arial" w:hAnsi="Arial" w:cs="Arial"/>
                <w:b/>
                <w:sz w:val="20"/>
                <w:szCs w:val="20"/>
              </w:rPr>
              <w:t xml:space="preserve"> </w:t>
            </w:r>
            <w:r w:rsidR="00C245B7" w:rsidRPr="00C245B7">
              <w:rPr>
                <w:rFonts w:ascii="Arial" w:hAnsi="Arial" w:cs="Arial"/>
                <w:b/>
                <w:sz w:val="20"/>
                <w:szCs w:val="20"/>
                <w:highlight w:val="yellow"/>
              </w:rPr>
              <w:t xml:space="preserve"> </w:t>
            </w:r>
          </w:p>
          <w:p w:rsidR="00C245B7" w:rsidRPr="00AB0435" w:rsidRDefault="00C245B7"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Pr="00D218AE" w:rsidRDefault="00C245B7" w:rsidP="00F33004">
            <w:pPr>
              <w:autoSpaceDE w:val="0"/>
              <w:autoSpaceDN w:val="0"/>
              <w:adjustRightInd w:val="0"/>
              <w:rPr>
                <w:rFonts w:ascii="Arial" w:hAnsi="Arial" w:cs="Arial"/>
                <w:b/>
                <w:sz w:val="20"/>
                <w:szCs w:val="20"/>
                <w:highlight w:val="yellow"/>
                <w:lang w:val="en-US"/>
              </w:rPr>
            </w:pPr>
            <w:r w:rsidRPr="00F43183">
              <w:rPr>
                <w:rFonts w:ascii="Arial" w:hAnsi="Arial" w:cs="Arial"/>
                <w:sz w:val="20"/>
                <w:szCs w:val="20"/>
                <w:lang w:val="en-US"/>
              </w:rPr>
              <w:t>The French Alternative Energies and Atomic Energy Commission (CEA) is a key player in research, development and innovation in four main areas: defense and security, low carbon energies (nuclear and renewable energies), technological research for industry, fundamental research in the physical sciences and life sciences.</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F707D9" w:rsidP="00F33004">
            <w:pPr>
              <w:rPr>
                <w:rFonts w:ascii="Arial" w:hAnsi="Arial" w:cs="Arial"/>
                <w:b/>
                <w:snapToGrid w:val="0"/>
                <w:color w:val="000000"/>
                <w:sz w:val="20"/>
                <w:szCs w:val="20"/>
                <w:lang w:eastAsia="de-DE"/>
              </w:rPr>
            </w:pP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9"/>
      <w:headerReference w:type="default" r:id="rId20"/>
      <w:footerReference w:type="even" r:id="rId21"/>
      <w:footerReference w:type="default" r:id="rId22"/>
      <w:headerReference w:type="first" r:id="rId23"/>
      <w:footerReference w:type="first" r:id="rId24"/>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FA8" w:rsidRDefault="00460FA8" w:rsidP="00895596">
      <w:r>
        <w:separator/>
      </w:r>
    </w:p>
  </w:endnote>
  <w:endnote w:type="continuationSeparator" w:id="0">
    <w:p w:rsidR="00460FA8" w:rsidRDefault="00460FA8"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FA8" w:rsidRDefault="00460FA8" w:rsidP="00895596">
      <w:r>
        <w:separator/>
      </w:r>
    </w:p>
  </w:footnote>
  <w:footnote w:type="continuationSeparator" w:id="0">
    <w:p w:rsidR="00460FA8" w:rsidRDefault="00460FA8"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47" w:rsidRDefault="006052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E2480A"/>
    <w:multiLevelType w:val="hybridMultilevel"/>
    <w:tmpl w:val="F3F20B2A"/>
    <w:lvl w:ilvl="0" w:tplc="964EDD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97697"/>
    <w:multiLevelType w:val="hybridMultilevel"/>
    <w:tmpl w:val="F0406276"/>
    <w:lvl w:ilvl="0" w:tplc="BFD033C6">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D3A91"/>
    <w:multiLevelType w:val="hybridMultilevel"/>
    <w:tmpl w:val="0D327D5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6631BB"/>
    <w:multiLevelType w:val="hybridMultilevel"/>
    <w:tmpl w:val="E1C26C46"/>
    <w:lvl w:ilvl="0" w:tplc="4B3EF692">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750B66C0"/>
    <w:multiLevelType w:val="hybridMultilevel"/>
    <w:tmpl w:val="C70CB8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9"/>
  </w:num>
  <w:num w:numId="6">
    <w:abstractNumId w:val="6"/>
  </w:num>
  <w:num w:numId="7">
    <w:abstractNumId w:val="12"/>
  </w:num>
  <w:num w:numId="8">
    <w:abstractNumId w:val="0"/>
  </w:num>
  <w:num w:numId="9">
    <w:abstractNumId w:val="7"/>
  </w:num>
  <w:num w:numId="10">
    <w:abstractNumId w:val="2"/>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7B0"/>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032EB"/>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D1F17"/>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0FA8"/>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9B5"/>
    <w:rsid w:val="00924D30"/>
    <w:rsid w:val="0093064F"/>
    <w:rsid w:val="00930944"/>
    <w:rsid w:val="00931107"/>
    <w:rsid w:val="00935445"/>
    <w:rsid w:val="00942CCD"/>
    <w:rsid w:val="009517E6"/>
    <w:rsid w:val="00954E21"/>
    <w:rsid w:val="00962BE1"/>
    <w:rsid w:val="009655F7"/>
    <w:rsid w:val="00965743"/>
    <w:rsid w:val="0097081E"/>
    <w:rsid w:val="0097126F"/>
    <w:rsid w:val="009751BB"/>
    <w:rsid w:val="0097613A"/>
    <w:rsid w:val="00985295"/>
    <w:rsid w:val="009943B2"/>
    <w:rsid w:val="009A0F63"/>
    <w:rsid w:val="009A20F4"/>
    <w:rsid w:val="009A3FA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4A03"/>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276B"/>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5923"/>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0CEA"/>
    <w:rsid w:val="00BA2C53"/>
    <w:rsid w:val="00BA3D01"/>
    <w:rsid w:val="00BA77A2"/>
    <w:rsid w:val="00BB1E0C"/>
    <w:rsid w:val="00BB37B0"/>
    <w:rsid w:val="00BB450B"/>
    <w:rsid w:val="00BB7465"/>
    <w:rsid w:val="00BC2721"/>
    <w:rsid w:val="00BC3C8B"/>
    <w:rsid w:val="00BC5C11"/>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45B7"/>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3324"/>
    <w:rsid w:val="00CC70C0"/>
    <w:rsid w:val="00CD464D"/>
    <w:rsid w:val="00CE0202"/>
    <w:rsid w:val="00CF0929"/>
    <w:rsid w:val="00CF22D3"/>
    <w:rsid w:val="00CF257B"/>
    <w:rsid w:val="00CF5218"/>
    <w:rsid w:val="00CF578E"/>
    <w:rsid w:val="00CF646D"/>
    <w:rsid w:val="00CF6623"/>
    <w:rsid w:val="00CF7EBC"/>
    <w:rsid w:val="00D00E62"/>
    <w:rsid w:val="00D02949"/>
    <w:rsid w:val="00D13FE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C7A60"/>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0C15"/>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1B15"/>
    <w:rsid w:val="00E77640"/>
    <w:rsid w:val="00E8118D"/>
    <w:rsid w:val="00E848B2"/>
    <w:rsid w:val="00E86E3F"/>
    <w:rsid w:val="00E90633"/>
    <w:rsid w:val="00E92CAE"/>
    <w:rsid w:val="00E93F67"/>
    <w:rsid w:val="00E945F4"/>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757CB"/>
    <w:rsid w:val="00F80590"/>
    <w:rsid w:val="00F83BC1"/>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2622"/>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BEBEF"/>
  <w15:docId w15:val="{82DB5975-F8CC-437D-A59B-A83F2265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paragraph" w:styleId="Titre2">
    <w:name w:val="heading 2"/>
    <w:basedOn w:val="Normal"/>
    <w:link w:val="Titre2Car"/>
    <w:uiPriority w:val="9"/>
    <w:qFormat/>
    <w:rsid w:val="00E945F4"/>
    <w:pPr>
      <w:spacing w:before="100" w:beforeAutospacing="1" w:after="100" w:afterAutospacing="1"/>
      <w:outlineLvl w:val="1"/>
    </w:pPr>
    <w:rPr>
      <w:rFonts w:ascii="Times New Roman" w:hAnsi="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character" w:customStyle="1" w:styleId="Titre2Car">
    <w:name w:val="Titre 2 Car"/>
    <w:basedOn w:val="Policepardfaut"/>
    <w:link w:val="Titre2"/>
    <w:uiPriority w:val="9"/>
    <w:rsid w:val="00E945F4"/>
    <w:rPr>
      <w:b/>
      <w:bCs/>
      <w:sz w:val="36"/>
      <w:szCs w:val="36"/>
      <w:lang w:val="fr-FR" w:eastAsia="fr-FR"/>
    </w:rPr>
  </w:style>
  <w:style w:type="paragraph" w:customStyle="1" w:styleId="default0">
    <w:name w:val="default"/>
    <w:basedOn w:val="Normal"/>
    <w:rsid w:val="003032EB"/>
    <w:pPr>
      <w:spacing w:before="100" w:beforeAutospacing="1" w:after="100" w:afterAutospacing="1"/>
    </w:pPr>
    <w:rPr>
      <w:rFonts w:ascii="Times New Roman" w:eastAsiaTheme="minorHAnsi"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91462">
      <w:bodyDiv w:val="1"/>
      <w:marLeft w:val="0"/>
      <w:marRight w:val="0"/>
      <w:marTop w:val="0"/>
      <w:marBottom w:val="0"/>
      <w:divBdr>
        <w:top w:val="none" w:sz="0" w:space="0" w:color="auto"/>
        <w:left w:val="none" w:sz="0" w:space="0" w:color="auto"/>
        <w:bottom w:val="none" w:sz="0" w:space="0" w:color="auto"/>
        <w:right w:val="none" w:sz="0" w:space="0" w:color="auto"/>
      </w:divBdr>
    </w:div>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ck.wincker@cea.fr" TargetMode="External"/><Relationship Id="rId13" Type="http://schemas.openxmlformats.org/officeDocument/2006/relationships/hyperlink" Target="mailto:eric.douville@lsce.ipsl.fr" TargetMode="External"/><Relationship Id="rId18" Type="http://schemas.openxmlformats.org/officeDocument/2006/relationships/hyperlink" Target="http://www.cea.fr/englis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jacob.cea.fr/drf/ifrancoisjacob/english/Pages/Departments/Genoscope.aspx" TargetMode="External"/><Relationship Id="rId12" Type="http://schemas.openxmlformats.org/officeDocument/2006/relationships/hyperlink" Target="https://biodiversity.europa.eu/" TargetMode="External"/><Relationship Id="rId17" Type="http://schemas.openxmlformats.org/officeDocument/2006/relationships/hyperlink" Target="mailto:anja.krieger-liszkay@cea.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2bc.paris-saclay.fr/spip.php?rubrique3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sce.ipsl.fr/en/Phocea/Vie_des_labos/Ast/ast_service.php?id_unit=5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nicolas.viovy@lsce.ipsl.fr" TargetMode="External"/><Relationship Id="rId23" Type="http://schemas.openxmlformats.org/officeDocument/2006/relationships/header" Target="header3.xml"/><Relationship Id="rId10" Type="http://schemas.openxmlformats.org/officeDocument/2006/relationships/hyperlink" Target="mailto:christine.hatte@lsce.ipsl.f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sce.ipsl.fr/en/Phocea/Vie_des_labos/Ast/ast_service.php?id_unit=50" TargetMode="External"/><Relationship Id="rId14" Type="http://schemas.openxmlformats.org/officeDocument/2006/relationships/hyperlink" Target="https://www.lsce.ipsl.fr/en/Phocea/Vie_des_labos/Ast/ast_groupe.php?id_groupe=55"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999</Words>
  <Characters>5499</Characters>
  <Application>Microsoft Office Word</Application>
  <DocSecurity>0</DocSecurity>
  <Lines>45</Lines>
  <Paragraphs>12</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AUGE Nicolas</cp:lastModifiedBy>
  <cp:revision>24</cp:revision>
  <cp:lastPrinted>2009-07-23T09:36:00Z</cp:lastPrinted>
  <dcterms:created xsi:type="dcterms:W3CDTF">2020-07-03T08:15:00Z</dcterms:created>
  <dcterms:modified xsi:type="dcterms:W3CDTF">2020-09-11T11:33:00Z</dcterms:modified>
</cp:coreProperties>
</file>