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00450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E4007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245B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045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45B7">
              <w:rPr>
                <w:rFonts w:ascii="Arial" w:hAnsi="Arial" w:cs="Arial"/>
                <w:b/>
                <w:sz w:val="20"/>
                <w:szCs w:val="20"/>
              </w:rPr>
              <w:t>-2020-</w:t>
            </w:r>
            <w:r w:rsidR="0000450C">
              <w:rPr>
                <w:rFonts w:ascii="Arial" w:hAnsi="Arial" w:cs="Arial"/>
                <w:b/>
                <w:sz w:val="20"/>
                <w:szCs w:val="20"/>
              </w:rPr>
              <w:t>Fostering regulatory science to address combined exposures to industrial chemicals and pharmaceuticals: from science to evidence-based policies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206113" w:rsidRPr="00206113" w:rsidRDefault="00206113" w:rsidP="00206113">
            <w:pPr>
              <w:ind w:left="-142"/>
              <w:rPr>
                <w:color w:val="000000"/>
                <w:lang w:val="fr-FR"/>
              </w:rPr>
            </w:pPr>
          </w:p>
          <w:p w:rsidR="003B2DDF" w:rsidRDefault="003B2DDF" w:rsidP="003B2DDF">
            <w:pPr>
              <w:pStyle w:val="Default"/>
              <w:numPr>
                <w:ilvl w:val="0"/>
                <w:numId w:val="21"/>
              </w:numPr>
              <w:ind w:left="142" w:hanging="284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B2DDF">
              <w:rPr>
                <w:rFonts w:eastAsia="Calibri"/>
                <w:sz w:val="18"/>
                <w:szCs w:val="20"/>
                <w:lang w:val="en-GB"/>
              </w:rPr>
              <w:t xml:space="preserve">At </w:t>
            </w:r>
            <w:hyperlink r:id="rId7" w:history="1">
              <w:r w:rsidRPr="003B2DDF">
                <w:rPr>
                  <w:rStyle w:val="Lienhypertexte"/>
                  <w:rFonts w:eastAsia="Calibri"/>
                  <w:sz w:val="18"/>
                  <w:szCs w:val="20"/>
                  <w:lang w:val="en-GB"/>
                </w:rPr>
                <w:t>DRF/IBFJ/IRCM/SDRR/LDG</w:t>
              </w:r>
            </w:hyperlink>
            <w:r w:rsidRPr="003B2DDF">
              <w:rPr>
                <w:rStyle w:val="Lienhypertexte"/>
                <w:sz w:val="18"/>
                <w:lang w:val="en-GB"/>
              </w:rPr>
              <w:t>:</w:t>
            </w:r>
            <w:r>
              <w:rPr>
                <w:rFonts w:eastAsia="Calibri"/>
                <w:b/>
                <w:color w:val="0000FF"/>
                <w:sz w:val="20"/>
                <w:szCs w:val="20"/>
                <w:lang w:val="en-US"/>
              </w:rPr>
              <w:t xml:space="preserve">  </w:t>
            </w:r>
          </w:p>
          <w:p w:rsidR="0000450C" w:rsidRPr="0000450C" w:rsidRDefault="0000450C" w:rsidP="0000450C">
            <w:pPr>
              <w:pStyle w:val="Defaul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The </w:t>
            </w:r>
            <w:r w:rsidRPr="0000450C">
              <w:rPr>
                <w:rFonts w:eastAsia="Calibri"/>
                <w:b/>
                <w:sz w:val="20"/>
                <w:szCs w:val="20"/>
                <w:lang w:val="en-US"/>
              </w:rPr>
              <w:t>reproductive function has proven highly sensitive to numerous pollutants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 and is thus a sentinel function. Assessing the </w:t>
            </w:r>
            <w:proofErr w:type="spellStart"/>
            <w:r w:rsidRPr="0000450C">
              <w:rPr>
                <w:rFonts w:eastAsia="Calibri"/>
                <w:sz w:val="20"/>
                <w:szCs w:val="20"/>
                <w:lang w:val="en-US"/>
              </w:rPr>
              <w:t>reprotoxicity</w:t>
            </w:r>
            <w:proofErr w:type="spellEnd"/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 of chemicals can be done experimentally in rodents despite species-specific response being reported or through time-consuming epidemiological studies in Human. The LDG is setting up </w:t>
            </w:r>
            <w:r w:rsidRPr="0000450C">
              <w:rPr>
                <w:rFonts w:eastAsia="Calibri"/>
                <w:b/>
                <w:sz w:val="20"/>
                <w:szCs w:val="20"/>
                <w:lang w:val="en-US"/>
              </w:rPr>
              <w:t>models (culture and xenograft) to investigate experimentally the toxicity of pollutants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 in the human developing gonads, </w:t>
            </w:r>
            <w:r w:rsidRPr="0000450C">
              <w:rPr>
                <w:rFonts w:eastAsia="Calibri"/>
                <w:b/>
                <w:sz w:val="20"/>
                <w:szCs w:val="20"/>
                <w:lang w:val="en-US"/>
              </w:rPr>
              <w:t>fulfilling the gap between rodents and epidemiological studies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, to provide an </w:t>
            </w:r>
            <w:r w:rsidRPr="0000450C">
              <w:rPr>
                <w:rFonts w:eastAsia="Calibri"/>
                <w:b/>
                <w:sz w:val="20"/>
                <w:szCs w:val="20"/>
                <w:lang w:val="en-US"/>
              </w:rPr>
              <w:t>improved risk assessment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00450C" w:rsidRPr="0000450C" w:rsidRDefault="0000450C" w:rsidP="0000450C">
            <w:pPr>
              <w:pStyle w:val="Defaul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00450C">
              <w:rPr>
                <w:rFonts w:eastAsia="Calibri"/>
                <w:sz w:val="20"/>
                <w:szCs w:val="20"/>
                <w:lang w:val="en-US"/>
              </w:rPr>
              <w:t>Expected impact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 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>Scientific evidence to enable mitigation of pharmaceutical and other chemicals (mixtures) in the environment</w:t>
            </w:r>
          </w:p>
          <w:p w:rsidR="003B2DDF" w:rsidRDefault="003B2DDF" w:rsidP="003B2DDF">
            <w:pPr>
              <w:pStyle w:val="Default"/>
              <w:rPr>
                <w:rStyle w:val="Lienhypertexte"/>
                <w:rFonts w:eastAsia="Calibri"/>
                <w:b/>
                <w:sz w:val="18"/>
                <w:szCs w:val="20"/>
              </w:rPr>
            </w:pPr>
            <w:r w:rsidRPr="00E561D6">
              <w:rPr>
                <w:rFonts w:eastAsia="Calibri"/>
                <w:i/>
                <w:sz w:val="20"/>
                <w:szCs w:val="20"/>
              </w:rPr>
              <w:t xml:space="preserve">Main contact </w:t>
            </w:r>
            <w:proofErr w:type="spellStart"/>
            <w:r w:rsidRPr="00E561D6">
              <w:rPr>
                <w:rFonts w:eastAsia="Calibri"/>
                <w:i/>
                <w:sz w:val="20"/>
                <w:szCs w:val="20"/>
              </w:rPr>
              <w:t>person</w:t>
            </w:r>
            <w:proofErr w:type="spellEnd"/>
            <w:r w:rsidRPr="00E561D6">
              <w:rPr>
                <w:rFonts w:eastAsia="Calibri"/>
                <w:i/>
                <w:sz w:val="20"/>
                <w:szCs w:val="20"/>
              </w:rPr>
              <w:t>:</w:t>
            </w:r>
            <w:r w:rsidRPr="00C159E0">
              <w:rPr>
                <w:rFonts w:eastAsia="Calibri"/>
                <w:b/>
                <w:color w:val="0000FF"/>
                <w:sz w:val="20"/>
                <w:szCs w:val="20"/>
              </w:rPr>
              <w:t xml:space="preserve"> </w:t>
            </w:r>
            <w:r w:rsidRPr="003B2DDF">
              <w:rPr>
                <w:rFonts w:eastAsia="Calibri"/>
                <w:i/>
                <w:sz w:val="20"/>
                <w:szCs w:val="20"/>
              </w:rPr>
              <w:t>Pr Gabriel L</w:t>
            </w:r>
            <w:r w:rsidR="00CF2368">
              <w:rPr>
                <w:rFonts w:eastAsia="Calibri"/>
                <w:i/>
                <w:sz w:val="20"/>
                <w:szCs w:val="20"/>
              </w:rPr>
              <w:t>IVERA</w:t>
            </w:r>
            <w:r w:rsidRPr="00C159E0">
              <w:rPr>
                <w:rFonts w:eastAsia="Calibri"/>
                <w:b/>
                <w:color w:val="0000FF"/>
                <w:sz w:val="20"/>
                <w:szCs w:val="20"/>
              </w:rPr>
              <w:t xml:space="preserve"> </w:t>
            </w:r>
            <w:hyperlink r:id="rId8" w:history="1">
              <w:r w:rsidRPr="00037BEB">
                <w:rPr>
                  <w:rStyle w:val="Lienhypertexte"/>
                  <w:rFonts w:eastAsia="Calibri"/>
                  <w:b/>
                  <w:sz w:val="18"/>
                  <w:szCs w:val="20"/>
                </w:rPr>
                <w:t>gabriel.livera@cea.fr</w:t>
              </w:r>
            </w:hyperlink>
          </w:p>
          <w:p w:rsidR="0000450C" w:rsidRDefault="0000450C" w:rsidP="003B2DDF">
            <w:pPr>
              <w:pStyle w:val="Default"/>
              <w:rPr>
                <w:rStyle w:val="Lienhypertexte"/>
                <w:rFonts w:eastAsia="Calibri"/>
                <w:b/>
                <w:sz w:val="18"/>
                <w:szCs w:val="20"/>
              </w:rPr>
            </w:pPr>
          </w:p>
          <w:p w:rsidR="0000450C" w:rsidRPr="0000450C" w:rsidRDefault="0000450C" w:rsidP="0000450C">
            <w:pPr>
              <w:pStyle w:val="Default"/>
              <w:numPr>
                <w:ilvl w:val="0"/>
                <w:numId w:val="13"/>
              </w:numPr>
              <w:ind w:left="142" w:hanging="284"/>
              <w:rPr>
                <w:rFonts w:eastAsia="Calibri"/>
                <w:sz w:val="20"/>
                <w:szCs w:val="20"/>
                <w:lang w:val="en-GB"/>
              </w:rPr>
            </w:pPr>
            <w:r w:rsidRPr="00C67C9B">
              <w:rPr>
                <w:rFonts w:eastAsia="Calibri"/>
                <w:sz w:val="18"/>
                <w:szCs w:val="20"/>
                <w:lang w:val="en-GB"/>
              </w:rPr>
              <w:t xml:space="preserve">At </w:t>
            </w:r>
            <w:hyperlink r:id="rId9" w:history="1">
              <w:r w:rsidRPr="00C67C9B">
                <w:rPr>
                  <w:rStyle w:val="Lienhypertexte"/>
                  <w:rFonts w:eastAsia="Calibri"/>
                  <w:sz w:val="18"/>
                  <w:szCs w:val="20"/>
                  <w:lang w:val="en-GB"/>
                </w:rPr>
                <w:t>DRF/JOLIOT/SHFJ/TIRO-MATOs</w:t>
              </w:r>
            </w:hyperlink>
            <w:r w:rsidRPr="00C67C9B">
              <w:rPr>
                <w:rFonts w:eastAsia="Calibri"/>
                <w:sz w:val="18"/>
                <w:szCs w:val="20"/>
                <w:lang w:val="en-GB"/>
              </w:rPr>
              <w:t xml:space="preserve">: </w:t>
            </w:r>
          </w:p>
          <w:p w:rsidR="0000450C" w:rsidRPr="0000450C" w:rsidRDefault="0000450C" w:rsidP="0000450C">
            <w:pPr>
              <w:pStyle w:val="Default"/>
              <w:ind w:left="142"/>
              <w:rPr>
                <w:rFonts w:eastAsia="Calibri"/>
                <w:sz w:val="18"/>
                <w:szCs w:val="20"/>
                <w:lang w:val="en-GB"/>
              </w:rPr>
            </w:pP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Elaboration of </w:t>
            </w:r>
            <w:r w:rsidRPr="00EF2EE3">
              <w:rPr>
                <w:rFonts w:eastAsia="Calibri"/>
                <w:b/>
                <w:sz w:val="20"/>
                <w:szCs w:val="20"/>
                <w:lang w:val="en-US"/>
              </w:rPr>
              <w:t>regulatory tests for the detection of thyroid disruptor effects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. Our team combines several skills and tools for sensitive and robust detection of such effects induced by any compound or chemical cocktail. We have indeed developed specific dedicated </w:t>
            </w:r>
            <w:proofErr w:type="gramStart"/>
            <w:r w:rsidRPr="0000450C">
              <w:rPr>
                <w:rFonts w:eastAsia="Calibri"/>
                <w:sz w:val="20"/>
                <w:szCs w:val="20"/>
                <w:lang w:val="en-US"/>
              </w:rPr>
              <w:t>techniques :</w:t>
            </w:r>
            <w:proofErr w:type="gramEnd"/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F2EE3">
              <w:rPr>
                <w:rFonts w:eastAsia="Calibri"/>
                <w:b/>
                <w:sz w:val="20"/>
                <w:szCs w:val="20"/>
                <w:lang w:val="en-US"/>
              </w:rPr>
              <w:t>iodide uptake assays in appropriate cellular models and living rodents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 (using our SPECT camera), p</w:t>
            </w:r>
            <w:r w:rsidRPr="00EF2EE3">
              <w:rPr>
                <w:rFonts w:eastAsia="Calibri"/>
                <w:b/>
                <w:sz w:val="20"/>
                <w:szCs w:val="20"/>
                <w:lang w:val="en-US"/>
              </w:rPr>
              <w:t>roteomic studies for assessment of untargeted and targeted effects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 (through the detection of thyroglobulin iodination) and </w:t>
            </w:r>
            <w:proofErr w:type="spellStart"/>
            <w:r w:rsidRPr="00EF2EE3">
              <w:rPr>
                <w:rFonts w:eastAsia="Calibri"/>
                <w:b/>
                <w:sz w:val="20"/>
                <w:szCs w:val="20"/>
                <w:lang w:val="en-US"/>
              </w:rPr>
              <w:t>metabolomic</w:t>
            </w:r>
            <w:proofErr w:type="spellEnd"/>
            <w:r w:rsidRPr="00EF2EE3">
              <w:rPr>
                <w:rFonts w:eastAsia="Calibri"/>
                <w:b/>
                <w:sz w:val="20"/>
                <w:szCs w:val="20"/>
                <w:lang w:val="en-US"/>
              </w:rPr>
              <w:t xml:space="preserve"> studies for the identification of molecular signatures</w:t>
            </w:r>
            <w:r w:rsidRPr="0000450C">
              <w:rPr>
                <w:rFonts w:eastAsia="Calibri"/>
                <w:sz w:val="20"/>
                <w:szCs w:val="20"/>
                <w:lang w:val="en-US"/>
              </w:rPr>
              <w:t xml:space="preserve"> of exposed cells or organisms.</w:t>
            </w:r>
          </w:p>
          <w:p w:rsidR="0000450C" w:rsidRPr="0000450C" w:rsidRDefault="0000450C" w:rsidP="0000450C">
            <w:pPr>
              <w:pStyle w:val="Default"/>
              <w:ind w:left="-142"/>
              <w:rPr>
                <w:rStyle w:val="Lienhypertexte"/>
                <w:b/>
                <w:sz w:val="18"/>
              </w:rPr>
            </w:pPr>
            <w:r>
              <w:rPr>
                <w:b/>
                <w:color w:val="0000FF"/>
                <w:sz w:val="20"/>
                <w:szCs w:val="20"/>
                <w:lang w:val="en-GB"/>
              </w:rPr>
              <w:t xml:space="preserve">  </w:t>
            </w:r>
            <w:r w:rsidRPr="001B5285">
              <w:rPr>
                <w:rFonts w:eastAsia="Calibri"/>
                <w:i/>
                <w:sz w:val="20"/>
                <w:szCs w:val="20"/>
              </w:rPr>
              <w:t xml:space="preserve">Main contact </w:t>
            </w:r>
            <w:proofErr w:type="spellStart"/>
            <w:r w:rsidRPr="001B5285">
              <w:rPr>
                <w:rFonts w:eastAsia="Calibri"/>
                <w:i/>
                <w:sz w:val="20"/>
                <w:szCs w:val="20"/>
              </w:rPr>
              <w:t>person</w:t>
            </w:r>
            <w:proofErr w:type="spellEnd"/>
            <w:r w:rsidRPr="001B5285">
              <w:rPr>
                <w:rFonts w:eastAsia="Calibri"/>
                <w:i/>
                <w:sz w:val="20"/>
                <w:szCs w:val="20"/>
              </w:rPr>
              <w:t>:</w:t>
            </w:r>
            <w:r w:rsidRPr="00C67C9B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0450C">
              <w:rPr>
                <w:rFonts w:eastAsia="Calibri"/>
                <w:i/>
                <w:sz w:val="20"/>
                <w:szCs w:val="20"/>
              </w:rPr>
              <w:t>Thierry P</w:t>
            </w:r>
            <w:r w:rsidRPr="0000450C">
              <w:rPr>
                <w:rFonts w:eastAsia="Calibri"/>
                <w:i/>
                <w:sz w:val="20"/>
                <w:szCs w:val="20"/>
              </w:rPr>
              <w:t>OURCHER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 </w:t>
            </w:r>
            <w:hyperlink r:id="rId10" w:history="1">
              <w:r w:rsidRPr="0000450C">
                <w:rPr>
                  <w:rStyle w:val="Lienhypertexte"/>
                  <w:rFonts w:eastAsia="Calibri"/>
                  <w:b/>
                  <w:sz w:val="18"/>
                  <w:szCs w:val="20"/>
                </w:rPr>
                <w:t>thierry.POURCHER@unice.fr</w:t>
              </w:r>
            </w:hyperlink>
            <w:r w:rsidRPr="0000450C">
              <w:rPr>
                <w:rStyle w:val="Lienhypertexte"/>
                <w:sz w:val="18"/>
              </w:rPr>
              <w:t xml:space="preserve"> </w:t>
            </w:r>
          </w:p>
          <w:p w:rsidR="0000450C" w:rsidRPr="000A0FF8" w:rsidRDefault="0000450C" w:rsidP="00EF2EE3">
            <w:pPr>
              <w:pStyle w:val="Default"/>
              <w:rPr>
                <w:rFonts w:eastAsia="Calibri"/>
                <w:sz w:val="18"/>
                <w:szCs w:val="20"/>
              </w:rPr>
            </w:pPr>
          </w:p>
          <w:p w:rsidR="0000450C" w:rsidRDefault="0000450C" w:rsidP="0000450C">
            <w:pPr>
              <w:pStyle w:val="Default"/>
              <w:numPr>
                <w:ilvl w:val="0"/>
                <w:numId w:val="13"/>
              </w:numPr>
              <w:ind w:left="142" w:hanging="284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18"/>
                <w:szCs w:val="20"/>
                <w:lang w:val="en-US"/>
              </w:rPr>
              <w:t xml:space="preserve">At </w:t>
            </w:r>
            <w:r w:rsidRPr="000A0FF8">
              <w:rPr>
                <w:rFonts w:eastAsia="Calibri"/>
                <w:sz w:val="20"/>
                <w:szCs w:val="20"/>
                <w:lang w:val="en-GB"/>
              </w:rPr>
              <w:t>DRT/</w:t>
            </w:r>
            <w:proofErr w:type="spellStart"/>
            <w:r w:rsidRPr="000A0FF8">
              <w:rPr>
                <w:rFonts w:eastAsia="Calibri"/>
                <w:sz w:val="20"/>
                <w:szCs w:val="20"/>
                <w:lang w:val="en-GB"/>
              </w:rPr>
              <w:t>Leti</w:t>
            </w:r>
            <w:proofErr w:type="spellEnd"/>
            <w:r w:rsidRPr="000A0FF8">
              <w:rPr>
                <w:rFonts w:eastAsia="Calibri"/>
                <w:sz w:val="20"/>
                <w:szCs w:val="20"/>
                <w:lang w:val="en-GB"/>
              </w:rPr>
              <w:t>/DTBS</w:t>
            </w:r>
            <w:r>
              <w:rPr>
                <w:rFonts w:eastAsia="Calibri"/>
                <w:sz w:val="20"/>
                <w:szCs w:val="20"/>
                <w:lang w:val="en-GB"/>
              </w:rPr>
              <w:t xml:space="preserve"> : </w:t>
            </w:r>
          </w:p>
          <w:p w:rsidR="0000450C" w:rsidRDefault="0000450C" w:rsidP="0000450C">
            <w:pPr>
              <w:pStyle w:val="Default"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“</w:t>
            </w:r>
            <w:r w:rsidRPr="0070571B">
              <w:rPr>
                <w:rFonts w:eastAsia="Calibri"/>
                <w:b/>
                <w:bCs/>
                <w:sz w:val="20"/>
                <w:szCs w:val="20"/>
                <w:lang w:val="en-US"/>
              </w:rPr>
              <w:t>To detect/monitor pollutants in the environment</w:t>
            </w:r>
            <w:r w:rsidRPr="0070571B">
              <w:rPr>
                <w:rFonts w:eastAsia="Calibri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54118B">
              <w:rPr>
                <w:rFonts w:eastAsia="Calibri"/>
                <w:bCs/>
                <w:sz w:val="20"/>
                <w:szCs w:val="20"/>
                <w:lang w:val="en-US"/>
              </w:rPr>
              <w:t xml:space="preserve">expertise on detection/monitoring devices and more precisely on sample collection/preparation/pre-concentration and microfluidic integration for miniaturized and autonomous devices. </w:t>
            </w:r>
          </w:p>
          <w:p w:rsidR="0000450C" w:rsidRDefault="0000450C" w:rsidP="0000450C">
            <w:pPr>
              <w:pStyle w:val="Default"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lastRenderedPageBreak/>
              <w:t xml:space="preserve">-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“</w:t>
            </w:r>
            <w:r w:rsidRPr="0070571B">
              <w:rPr>
                <w:rFonts w:eastAsia="Calibri"/>
                <w:b/>
                <w:bCs/>
                <w:sz w:val="20"/>
                <w:szCs w:val="20"/>
                <w:lang w:val="en-US"/>
              </w:rPr>
              <w:t>To develop innovative bio-remediation technologies</w:t>
            </w:r>
            <w:r>
              <w:rPr>
                <w:rFonts w:eastAsia="Calibri"/>
                <w:bCs/>
                <w:sz w:val="20"/>
                <w:szCs w:val="20"/>
                <w:u w:val="single"/>
                <w:lang w:val="en-US"/>
              </w:rPr>
              <w:t>”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, microalgae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can be used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 to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study the impact of pollution on the environment and/or 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>naturally detoxify the environment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: we have expertise in imaging technologies (Lens F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ree for instance)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that 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can be used for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real-time 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monitoring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of algae growth and metabolism, and providing miniaturized devices for measurements on the field.</w:t>
            </w:r>
          </w:p>
          <w:p w:rsidR="0000450C" w:rsidRPr="00AB4DEE" w:rsidRDefault="0000450C" w:rsidP="0000450C">
            <w:pPr>
              <w:pStyle w:val="Default"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70571B">
              <w:rPr>
                <w:rFonts w:eastAsia="Calibri"/>
                <w:b/>
                <w:bCs/>
                <w:sz w:val="20"/>
                <w:szCs w:val="20"/>
                <w:lang w:val="en-US"/>
              </w:rPr>
              <w:t>-“To better understand the impact on health of pollutants (and pharmaceuticals)”,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organ-on-chip (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US"/>
              </w:rPr>
              <w:t>Oo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>C</w:t>
            </w:r>
            <w:proofErr w:type="spellEnd"/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>) can mimic the body response to such exposures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(low doses, mixtures, etc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val="en-US"/>
              </w:rPr>
              <w:t>..)</w:t>
            </w:r>
            <w:proofErr w:type="gramEnd"/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. We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have a</w:t>
            </w:r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 strong expertise in microfluidics and sensor integration for </w:t>
            </w:r>
            <w:proofErr w:type="spellStart"/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>OoC</w:t>
            </w:r>
            <w:proofErr w:type="spellEnd"/>
            <w:r w:rsidRPr="00AB4DEE">
              <w:rPr>
                <w:rFonts w:eastAsia="Calibri"/>
                <w:bCs/>
                <w:sz w:val="20"/>
                <w:szCs w:val="20"/>
                <w:lang w:val="en-US"/>
              </w:rPr>
              <w:t xml:space="preserve"> or other 3D in-vitro models.</w:t>
            </w:r>
          </w:p>
          <w:p w:rsidR="0000450C" w:rsidRPr="00E561D6" w:rsidRDefault="0000450C" w:rsidP="0000450C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561D6">
              <w:rPr>
                <w:rFonts w:eastAsia="Calibri"/>
                <w:i/>
                <w:sz w:val="20"/>
                <w:szCs w:val="20"/>
              </w:rPr>
              <w:t xml:space="preserve">Main contact </w:t>
            </w:r>
            <w:proofErr w:type="spellStart"/>
            <w:r w:rsidRPr="00E561D6">
              <w:rPr>
                <w:rFonts w:eastAsia="Calibri"/>
                <w:i/>
                <w:sz w:val="20"/>
                <w:szCs w:val="20"/>
              </w:rPr>
              <w:t>person</w:t>
            </w:r>
            <w:proofErr w:type="spellEnd"/>
            <w:r w:rsidRPr="00E561D6">
              <w:rPr>
                <w:rFonts w:eastAsia="Calibri"/>
                <w:i/>
                <w:sz w:val="20"/>
                <w:szCs w:val="20"/>
              </w:rPr>
              <w:t xml:space="preserve">: Caroline </w:t>
            </w:r>
            <w:proofErr w:type="spellStart"/>
            <w:r w:rsidRPr="00E561D6">
              <w:rPr>
                <w:rFonts w:eastAsia="Calibri"/>
                <w:i/>
                <w:sz w:val="20"/>
                <w:szCs w:val="20"/>
              </w:rPr>
              <w:t>Desvergne</w:t>
            </w:r>
            <w:proofErr w:type="spellEnd"/>
            <w:r w:rsidRPr="00EB62AF">
              <w:rPr>
                <w:rFonts w:eastAsia="Calibri"/>
                <w:b/>
                <w:sz w:val="20"/>
                <w:szCs w:val="20"/>
              </w:rPr>
              <w:t xml:space="preserve"> </w:t>
            </w:r>
            <w:hyperlink r:id="rId11" w:history="1">
              <w:r w:rsidRPr="007B6763">
                <w:rPr>
                  <w:rStyle w:val="Lienhypertexte"/>
                  <w:rFonts w:eastAsia="Calibri"/>
                  <w:b/>
                  <w:sz w:val="20"/>
                  <w:szCs w:val="20"/>
                </w:rPr>
                <w:t>caroline.desvergne@cea.fr</w:t>
              </w:r>
            </w:hyperlink>
          </w:p>
          <w:p w:rsidR="0000450C" w:rsidRPr="003B2DDF" w:rsidRDefault="0000450C" w:rsidP="003B2DDF">
            <w:pPr>
              <w:pStyle w:val="Default"/>
              <w:rPr>
                <w:rFonts w:eastAsia="Calibri"/>
                <w:color w:val="0000FF"/>
                <w:sz w:val="20"/>
                <w:szCs w:val="20"/>
              </w:rPr>
            </w:pPr>
          </w:p>
          <w:p w:rsidR="00AF4869" w:rsidRPr="00AF4869" w:rsidRDefault="00AF4869" w:rsidP="00AF4869">
            <w:pPr>
              <w:pStyle w:val="Default"/>
              <w:ind w:left="-142"/>
              <w:rPr>
                <w:rFonts w:eastAsia="Calibri"/>
                <w:sz w:val="18"/>
                <w:szCs w:val="20"/>
                <w:lang w:val="en-GB"/>
              </w:rPr>
            </w:pPr>
            <w:bookmarkStart w:id="0" w:name="_GoBack"/>
            <w:bookmarkEnd w:id="0"/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C245B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3183">
              <w:rPr>
                <w:rFonts w:ascii="Arial" w:hAnsi="Arial" w:cs="Arial"/>
                <w:b/>
                <w:sz w:val="20"/>
                <w:szCs w:val="20"/>
              </w:rPr>
              <w:t>The French Alternative Energies and Atomic Energy Commission (CEA),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C245B7" w:rsidRPr="00AB0435" w:rsidRDefault="00F707D9" w:rsidP="00C2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  <w:r w:rsidR="00C245B7"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707D9" w:rsidRPr="00AB0435" w:rsidRDefault="00C245B7" w:rsidP="00C245B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F43183">
              <w:rPr>
                <w:rFonts w:ascii="Arial" w:hAnsi="Arial" w:cs="Arial"/>
                <w:b/>
                <w:szCs w:val="28"/>
              </w:rPr>
              <w:sym w:font="Wingdings" w:char="F078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F43183">
              <w:rPr>
                <w:rFonts w:ascii="Arial" w:hAnsi="Arial" w:cs="Arial"/>
                <w:b/>
                <w:szCs w:val="28"/>
              </w:rPr>
              <w:sym w:font="Wingdings" w:char="F078"/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43183">
              <w:rPr>
                <w:rFonts w:ascii="Arial" w:hAnsi="Arial" w:cs="Arial"/>
                <w:b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C245B7" w:rsidRPr="00AB0435" w:rsidRDefault="00F707D9" w:rsidP="00C245B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  <w:r w:rsidR="00C245B7" w:rsidRPr="00AB04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F707D9" w:rsidRPr="00AB0435" w:rsidRDefault="00C245B7" w:rsidP="00C245B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3183">
              <w:rPr>
                <w:rFonts w:ascii="Arial" w:hAnsi="Arial" w:cs="Arial"/>
                <w:b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C245B7" w:rsidRDefault="00B50C16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12" w:history="1">
              <w:r w:rsidR="00BC5C11" w:rsidRPr="008F131A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http://www.cea.fr/english</w:t>
              </w:r>
            </w:hyperlink>
            <w:r w:rsidR="00C245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45B7" w:rsidRPr="00C245B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C245B7" w:rsidRPr="00AB0435" w:rsidRDefault="00C245B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C245B7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F43183">
              <w:rPr>
                <w:rFonts w:ascii="Arial" w:hAnsi="Arial" w:cs="Arial"/>
                <w:sz w:val="20"/>
                <w:szCs w:val="20"/>
                <w:lang w:val="en-US"/>
              </w:rPr>
              <w:t>The French Alternative Energies and Atomic Energy Commission (CEA) is a key player in research, development and innovation in four main areas: defense and security, low carbon energies (nuclear and renewable energies), technological research for industry, fundamental research in the physical sciences and life sciences.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16" w:rsidRDefault="00B50C16" w:rsidP="00895596">
      <w:r>
        <w:separator/>
      </w:r>
    </w:p>
  </w:endnote>
  <w:endnote w:type="continuationSeparator" w:id="0">
    <w:p w:rsidR="00B50C16" w:rsidRDefault="00B50C16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16" w:rsidRDefault="00B50C16" w:rsidP="00895596">
      <w:r>
        <w:separator/>
      </w:r>
    </w:p>
  </w:footnote>
  <w:footnote w:type="continuationSeparator" w:id="0">
    <w:p w:rsidR="00B50C16" w:rsidRDefault="00B50C16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615"/>
    <w:multiLevelType w:val="hybridMultilevel"/>
    <w:tmpl w:val="61B02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493B"/>
    <w:multiLevelType w:val="hybridMultilevel"/>
    <w:tmpl w:val="34981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6FD4"/>
    <w:multiLevelType w:val="hybridMultilevel"/>
    <w:tmpl w:val="70BC56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2480A"/>
    <w:multiLevelType w:val="hybridMultilevel"/>
    <w:tmpl w:val="F3F20B2A"/>
    <w:lvl w:ilvl="0" w:tplc="964EDD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60F5F"/>
    <w:multiLevelType w:val="hybridMultilevel"/>
    <w:tmpl w:val="4A8C7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7697"/>
    <w:multiLevelType w:val="hybridMultilevel"/>
    <w:tmpl w:val="F0406276"/>
    <w:lvl w:ilvl="0" w:tplc="BFD033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34BE"/>
    <w:multiLevelType w:val="hybridMultilevel"/>
    <w:tmpl w:val="B9BE2636"/>
    <w:lvl w:ilvl="0" w:tplc="5C0A45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77EFD"/>
    <w:multiLevelType w:val="hybridMultilevel"/>
    <w:tmpl w:val="4B44F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5E96"/>
    <w:multiLevelType w:val="hybridMultilevel"/>
    <w:tmpl w:val="DBB07FE0"/>
    <w:lvl w:ilvl="0" w:tplc="45BE1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67ED1"/>
    <w:multiLevelType w:val="hybridMultilevel"/>
    <w:tmpl w:val="66CCFFB0"/>
    <w:lvl w:ilvl="0" w:tplc="8DD6E2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D3A91"/>
    <w:multiLevelType w:val="hybridMultilevel"/>
    <w:tmpl w:val="0D327D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31BB"/>
    <w:multiLevelType w:val="hybridMultilevel"/>
    <w:tmpl w:val="E1C26C46"/>
    <w:lvl w:ilvl="0" w:tplc="4B3EF6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71F69"/>
    <w:multiLevelType w:val="hybridMultilevel"/>
    <w:tmpl w:val="AA3C5950"/>
    <w:lvl w:ilvl="0" w:tplc="E340C2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3E971A0"/>
    <w:multiLevelType w:val="multilevel"/>
    <w:tmpl w:val="CC5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66C0"/>
    <w:multiLevelType w:val="hybridMultilevel"/>
    <w:tmpl w:val="75E2F516"/>
    <w:lvl w:ilvl="0" w:tplc="CF2208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D75A9"/>
    <w:multiLevelType w:val="hybridMultilevel"/>
    <w:tmpl w:val="8F2061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17"/>
  </w:num>
  <w:num w:numId="6">
    <w:abstractNumId w:val="14"/>
  </w:num>
  <w:num w:numId="7">
    <w:abstractNumId w:val="22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8"/>
  </w:num>
  <w:num w:numId="13">
    <w:abstractNumId w:val="21"/>
  </w:num>
  <w:num w:numId="14">
    <w:abstractNumId w:val="2"/>
  </w:num>
  <w:num w:numId="15">
    <w:abstractNumId w:val="7"/>
  </w:num>
  <w:num w:numId="16">
    <w:abstractNumId w:val="1"/>
  </w:num>
  <w:num w:numId="17">
    <w:abstractNumId w:val="18"/>
  </w:num>
  <w:num w:numId="18">
    <w:abstractNumId w:val="20"/>
  </w:num>
  <w:num w:numId="19">
    <w:abstractNumId w:val="23"/>
  </w:num>
  <w:num w:numId="20">
    <w:abstractNumId w:val="9"/>
  </w:num>
  <w:num w:numId="21">
    <w:abstractNumId w:val="13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0450C"/>
    <w:rsid w:val="00010C82"/>
    <w:rsid w:val="00011433"/>
    <w:rsid w:val="00011CD7"/>
    <w:rsid w:val="000209B9"/>
    <w:rsid w:val="00022B94"/>
    <w:rsid w:val="00023601"/>
    <w:rsid w:val="00024195"/>
    <w:rsid w:val="00027A86"/>
    <w:rsid w:val="00027AA0"/>
    <w:rsid w:val="0003142A"/>
    <w:rsid w:val="000353F9"/>
    <w:rsid w:val="00037BEB"/>
    <w:rsid w:val="00040D89"/>
    <w:rsid w:val="00041274"/>
    <w:rsid w:val="00041B17"/>
    <w:rsid w:val="000421C0"/>
    <w:rsid w:val="00042EFE"/>
    <w:rsid w:val="00045595"/>
    <w:rsid w:val="000544A1"/>
    <w:rsid w:val="00057573"/>
    <w:rsid w:val="0005793A"/>
    <w:rsid w:val="000641DD"/>
    <w:rsid w:val="00064F9A"/>
    <w:rsid w:val="00066A89"/>
    <w:rsid w:val="00074131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0FF8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285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06113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7B0"/>
    <w:rsid w:val="0027582F"/>
    <w:rsid w:val="002759AD"/>
    <w:rsid w:val="002767DA"/>
    <w:rsid w:val="00277753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0CD7"/>
    <w:rsid w:val="002D15D1"/>
    <w:rsid w:val="002D220C"/>
    <w:rsid w:val="002D4D3D"/>
    <w:rsid w:val="002E204A"/>
    <w:rsid w:val="002E5AFE"/>
    <w:rsid w:val="002F1028"/>
    <w:rsid w:val="002F7BA1"/>
    <w:rsid w:val="00302588"/>
    <w:rsid w:val="003032EB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287B"/>
    <w:rsid w:val="003834F1"/>
    <w:rsid w:val="00387A27"/>
    <w:rsid w:val="003901A7"/>
    <w:rsid w:val="003A1735"/>
    <w:rsid w:val="003A2AA2"/>
    <w:rsid w:val="003A5F0B"/>
    <w:rsid w:val="003B2DDF"/>
    <w:rsid w:val="003D1F17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B35B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3815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14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0571B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860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308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9B5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081E"/>
    <w:rsid w:val="0097126F"/>
    <w:rsid w:val="00974FD9"/>
    <w:rsid w:val="009751BB"/>
    <w:rsid w:val="0097613A"/>
    <w:rsid w:val="00985295"/>
    <w:rsid w:val="009943B2"/>
    <w:rsid w:val="009A0F63"/>
    <w:rsid w:val="009A20F4"/>
    <w:rsid w:val="009A3FA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4A03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2AFC"/>
    <w:rsid w:val="00A8506D"/>
    <w:rsid w:val="00A85B86"/>
    <w:rsid w:val="00A86E65"/>
    <w:rsid w:val="00A93A93"/>
    <w:rsid w:val="00AA12FA"/>
    <w:rsid w:val="00AA276B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869"/>
    <w:rsid w:val="00AF4BFE"/>
    <w:rsid w:val="00AF54DE"/>
    <w:rsid w:val="00AF5923"/>
    <w:rsid w:val="00AF71B7"/>
    <w:rsid w:val="00B06A0B"/>
    <w:rsid w:val="00B10E29"/>
    <w:rsid w:val="00B13133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C16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0CEA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5C11"/>
    <w:rsid w:val="00BC6A79"/>
    <w:rsid w:val="00BC7068"/>
    <w:rsid w:val="00BD20F4"/>
    <w:rsid w:val="00BD6355"/>
    <w:rsid w:val="00BE7221"/>
    <w:rsid w:val="00BF1538"/>
    <w:rsid w:val="00BF263E"/>
    <w:rsid w:val="00BF2FF3"/>
    <w:rsid w:val="00BF401B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45B7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67C9B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3324"/>
    <w:rsid w:val="00CC70C0"/>
    <w:rsid w:val="00CD464D"/>
    <w:rsid w:val="00CD4EB3"/>
    <w:rsid w:val="00CE0202"/>
    <w:rsid w:val="00CF0929"/>
    <w:rsid w:val="00CF22D3"/>
    <w:rsid w:val="00CF2368"/>
    <w:rsid w:val="00CF257B"/>
    <w:rsid w:val="00CF5218"/>
    <w:rsid w:val="00CF578E"/>
    <w:rsid w:val="00CF646D"/>
    <w:rsid w:val="00CF6623"/>
    <w:rsid w:val="00CF7EBC"/>
    <w:rsid w:val="00D00E62"/>
    <w:rsid w:val="00D02949"/>
    <w:rsid w:val="00D13FE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5485A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10EC"/>
    <w:rsid w:val="00DB3A19"/>
    <w:rsid w:val="00DB4B95"/>
    <w:rsid w:val="00DB6BB6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3283"/>
    <w:rsid w:val="00E07D3B"/>
    <w:rsid w:val="00E12913"/>
    <w:rsid w:val="00E13632"/>
    <w:rsid w:val="00E20C15"/>
    <w:rsid w:val="00E211E0"/>
    <w:rsid w:val="00E27647"/>
    <w:rsid w:val="00E27E21"/>
    <w:rsid w:val="00E33889"/>
    <w:rsid w:val="00E33E91"/>
    <w:rsid w:val="00E365D3"/>
    <w:rsid w:val="00E4007A"/>
    <w:rsid w:val="00E42B76"/>
    <w:rsid w:val="00E43350"/>
    <w:rsid w:val="00E4414B"/>
    <w:rsid w:val="00E4508B"/>
    <w:rsid w:val="00E55949"/>
    <w:rsid w:val="00E561D6"/>
    <w:rsid w:val="00E5628A"/>
    <w:rsid w:val="00E617C4"/>
    <w:rsid w:val="00E61F96"/>
    <w:rsid w:val="00E70769"/>
    <w:rsid w:val="00E7077D"/>
    <w:rsid w:val="00E707CB"/>
    <w:rsid w:val="00E71B15"/>
    <w:rsid w:val="00E77640"/>
    <w:rsid w:val="00E8118D"/>
    <w:rsid w:val="00E848B2"/>
    <w:rsid w:val="00E86E3F"/>
    <w:rsid w:val="00E90633"/>
    <w:rsid w:val="00E92CAE"/>
    <w:rsid w:val="00E93F67"/>
    <w:rsid w:val="00E945F4"/>
    <w:rsid w:val="00EA5B37"/>
    <w:rsid w:val="00EA73DB"/>
    <w:rsid w:val="00EB0391"/>
    <w:rsid w:val="00EB1332"/>
    <w:rsid w:val="00EB286D"/>
    <w:rsid w:val="00EB3568"/>
    <w:rsid w:val="00EB4CE6"/>
    <w:rsid w:val="00EB4D90"/>
    <w:rsid w:val="00EC6E04"/>
    <w:rsid w:val="00ED1B5F"/>
    <w:rsid w:val="00ED2376"/>
    <w:rsid w:val="00ED6B41"/>
    <w:rsid w:val="00ED7205"/>
    <w:rsid w:val="00EE441A"/>
    <w:rsid w:val="00EE74EE"/>
    <w:rsid w:val="00EE7FF4"/>
    <w:rsid w:val="00EF2EE3"/>
    <w:rsid w:val="00EF4C44"/>
    <w:rsid w:val="00EF4CD5"/>
    <w:rsid w:val="00EF5A40"/>
    <w:rsid w:val="00F02470"/>
    <w:rsid w:val="00F034FC"/>
    <w:rsid w:val="00F143CB"/>
    <w:rsid w:val="00F16A87"/>
    <w:rsid w:val="00F17A80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757CB"/>
    <w:rsid w:val="00F80590"/>
    <w:rsid w:val="00F83BC1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2622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670A3"/>
  <w15:docId w15:val="{82DB5975-F8CC-437D-A59B-A83F2265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paragraph" w:styleId="Titre2">
    <w:name w:val="heading 2"/>
    <w:basedOn w:val="Normal"/>
    <w:link w:val="Titre2Car"/>
    <w:uiPriority w:val="9"/>
    <w:qFormat/>
    <w:rsid w:val="00E945F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"/>
    <w:basedOn w:val="Normal"/>
    <w:link w:val="ParagraphedelisteCar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E945F4"/>
    <w:rPr>
      <w:b/>
      <w:bCs/>
      <w:sz w:val="36"/>
      <w:szCs w:val="36"/>
      <w:lang w:val="fr-FR" w:eastAsia="fr-FR"/>
    </w:rPr>
  </w:style>
  <w:style w:type="paragraph" w:customStyle="1" w:styleId="default0">
    <w:name w:val="default"/>
    <w:basedOn w:val="Normal"/>
    <w:rsid w:val="003032E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fr-FR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Colorful List - Accent 11 Car,Numbered Para 1 Car,Bullet 1 Car,Bullet Points Car,MAIN CONTENT Car,L Car"/>
    <w:basedOn w:val="Policepardfaut"/>
    <w:link w:val="Paragraphedeliste"/>
    <w:uiPriority w:val="34"/>
    <w:locked/>
    <w:rsid w:val="00206113"/>
    <w:rPr>
      <w:rFonts w:ascii="Amerigo BT" w:hAnsi="Amerigo BT"/>
      <w:sz w:val="22"/>
      <w:szCs w:val="22"/>
      <w:lang w:val="en-GB" w:eastAsia="fr-FR"/>
    </w:rPr>
  </w:style>
  <w:style w:type="character" w:styleId="Accentuation">
    <w:name w:val="Emphasis"/>
    <w:basedOn w:val="Policepardfaut"/>
    <w:uiPriority w:val="20"/>
    <w:qFormat/>
    <w:rsid w:val="001B5285"/>
    <w:rPr>
      <w:i/>
      <w:iCs/>
    </w:rPr>
  </w:style>
  <w:style w:type="character" w:styleId="lev">
    <w:name w:val="Strong"/>
    <w:basedOn w:val="Policepardfaut"/>
    <w:uiPriority w:val="22"/>
    <w:qFormat/>
    <w:rsid w:val="001B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livera@cea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jacob.cea.fr/drf/ifrancoisjacob/english/Pages/Departments/IRCM.aspx" TargetMode="External"/><Relationship Id="rId12" Type="http://schemas.openxmlformats.org/officeDocument/2006/relationships/hyperlink" Target="http://www.cea.fr/englis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e.desvergne@cea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hierry.POURCHER@unice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liot.cea.fr/drf/joliot/en/Pages/research_entities/SHFJ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AUGE Nicolas</cp:lastModifiedBy>
  <cp:revision>53</cp:revision>
  <cp:lastPrinted>2009-07-23T09:36:00Z</cp:lastPrinted>
  <dcterms:created xsi:type="dcterms:W3CDTF">2020-07-03T08:15:00Z</dcterms:created>
  <dcterms:modified xsi:type="dcterms:W3CDTF">2020-09-11T14:00:00Z</dcterms:modified>
</cp:coreProperties>
</file>