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D630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0F9A" wp14:editId="475B6056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9D2EA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0AD3A3D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0F9A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33C9D2EA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0AD3A3D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459B425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060DEF0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0F555B75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64201218" w14:textId="77777777" w:rsidTr="00F33004">
        <w:tc>
          <w:tcPr>
            <w:tcW w:w="9576" w:type="dxa"/>
          </w:tcPr>
          <w:p w14:paraId="58A248C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FF49B" w14:textId="77777777" w:rsidR="00F707D9" w:rsidRDefault="0012632D" w:rsidP="0012632D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12632D">
              <w:rPr>
                <w:rFonts w:ascii="Arial" w:hAnsi="Arial" w:cs="Arial"/>
                <w:b/>
                <w:sz w:val="20"/>
                <w:szCs w:val="20"/>
              </w:rPr>
              <w:t>LC-GD-2-1-2020: Innovative land-based and offshore renewable energy technologies and their integration into the energy syst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2632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14:paraId="18E7BC1F" w14:textId="77777777" w:rsidR="0094528B" w:rsidRDefault="0094528B" w:rsidP="0094528B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LC-GD-2-2</w:t>
            </w:r>
            <w:r w:rsidRPr="0012632D">
              <w:rPr>
                <w:rFonts w:ascii="Arial" w:hAnsi="Arial" w:cs="Arial"/>
                <w:b/>
                <w:sz w:val="20"/>
                <w:szCs w:val="20"/>
              </w:rPr>
              <w:t>-2020: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28B">
              <w:rPr>
                <w:rFonts w:ascii="Arial" w:hAnsi="Arial" w:cs="Arial"/>
                <w:b/>
                <w:sz w:val="20"/>
                <w:szCs w:val="20"/>
              </w:rPr>
              <w:t>Develop and demonstrate a 100 MW electrolyser upscaling the link between renewables and industrial applications</w:t>
            </w:r>
          </w:p>
          <w:p w14:paraId="0D28B4A0" w14:textId="77777777" w:rsidR="0094528B" w:rsidRDefault="0094528B" w:rsidP="0094528B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LC-GD-3</w:t>
            </w:r>
            <w:r w:rsidRPr="0012632D">
              <w:rPr>
                <w:rFonts w:ascii="Arial" w:hAnsi="Arial" w:cs="Arial"/>
                <w:b/>
                <w:sz w:val="20"/>
                <w:szCs w:val="20"/>
              </w:rPr>
              <w:t>-1-2020: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28B">
              <w:rPr>
                <w:rFonts w:ascii="Arial" w:hAnsi="Arial" w:cs="Arial"/>
                <w:b/>
                <w:sz w:val="20"/>
                <w:szCs w:val="20"/>
              </w:rPr>
              <w:t>Closing the industrial carbon cycle to combat climate change</w:t>
            </w:r>
          </w:p>
          <w:p w14:paraId="6DA61CEA" w14:textId="77777777" w:rsidR="0094528B" w:rsidRDefault="0094528B" w:rsidP="0094528B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LC-GD-4</w:t>
            </w:r>
            <w:r w:rsidRPr="0012632D">
              <w:rPr>
                <w:rFonts w:ascii="Arial" w:hAnsi="Arial" w:cs="Arial"/>
                <w:b/>
                <w:sz w:val="20"/>
                <w:szCs w:val="20"/>
              </w:rPr>
              <w:t>-1-2020: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28B">
              <w:rPr>
                <w:rFonts w:ascii="Arial" w:hAnsi="Arial" w:cs="Arial"/>
                <w:b/>
                <w:sz w:val="20"/>
                <w:szCs w:val="20"/>
              </w:rPr>
              <w:t>Building and renovating in an energy and resource efficient way</w:t>
            </w:r>
          </w:p>
          <w:p w14:paraId="18B01F17" w14:textId="77777777" w:rsidR="0094528B" w:rsidRDefault="0094528B" w:rsidP="0094528B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LC-GD-5</w:t>
            </w:r>
            <w:r w:rsidRPr="0012632D">
              <w:rPr>
                <w:rFonts w:ascii="Arial" w:hAnsi="Arial" w:cs="Arial"/>
                <w:b/>
                <w:sz w:val="20"/>
                <w:szCs w:val="20"/>
              </w:rPr>
              <w:t>-1-2020: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28B">
              <w:rPr>
                <w:rFonts w:ascii="Arial" w:hAnsi="Arial" w:cs="Arial"/>
                <w:b/>
                <w:sz w:val="20"/>
                <w:szCs w:val="20"/>
              </w:rPr>
              <w:t>Green airports and ports as hubs for sustainable and smart mobility</w:t>
            </w:r>
          </w:p>
          <w:p w14:paraId="37A5865B" w14:textId="77777777" w:rsidR="00063E9D" w:rsidRPr="00AB0435" w:rsidRDefault="00063E9D" w:rsidP="0094528B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63160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D511FA7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14:paraId="3D43E1F9" w14:textId="77777777" w:rsidTr="00F33004">
        <w:tc>
          <w:tcPr>
            <w:tcW w:w="9576" w:type="dxa"/>
          </w:tcPr>
          <w:p w14:paraId="4C380EF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36756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466C213C" w14:textId="77777777" w:rsidR="00F707D9" w:rsidRPr="00F86E41" w:rsidRDefault="00A96B3F" w:rsidP="00A96B3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040EBDD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5A57865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38087EF4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705C17">
        <w:rPr>
          <w:rFonts w:ascii="Arial" w:hAnsi="Arial" w:cs="Arial"/>
          <w:b/>
          <w:lang w:val="en-US"/>
        </w:rPr>
        <w:t xml:space="preserve"> </w:t>
      </w:r>
      <w:r w:rsidR="00B31EB8">
        <w:rPr>
          <w:rFonts w:ascii="Arial" w:hAnsi="Arial" w:cs="Arial"/>
          <w:b/>
          <w:lang w:val="en-US"/>
        </w:rPr>
        <w:t>No</w:t>
      </w:r>
      <w:r w:rsidR="00B31EB8" w:rsidRPr="008D1B93">
        <w:rPr>
          <w:rFonts w:ascii="Arial" w:hAnsi="Arial" w:cs="Arial"/>
          <w:b/>
          <w:lang w:val="en-US"/>
        </w:rPr>
        <w:t xml:space="preserve"> </w:t>
      </w:r>
    </w:p>
    <w:p w14:paraId="38FB1C53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705C17">
        <w:rPr>
          <w:rFonts w:ascii="Arial" w:hAnsi="Arial" w:cs="Arial"/>
          <w:b/>
          <w:lang w:val="en-US"/>
        </w:rPr>
        <w:t>: Yes</w:t>
      </w:r>
    </w:p>
    <w:p w14:paraId="147A7326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38A027DC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7325FF7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7067A2D9" w14:textId="77777777" w:rsidTr="00F33004">
        <w:tc>
          <w:tcPr>
            <w:tcW w:w="9576" w:type="dxa"/>
          </w:tcPr>
          <w:p w14:paraId="420485B6" w14:textId="77777777" w:rsidR="00A409F4" w:rsidRDefault="00A409F4" w:rsidP="00A40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 are looking for partners capable of: </w:t>
            </w:r>
          </w:p>
          <w:p w14:paraId="428A66B1" w14:textId="77777777" w:rsidR="00A409F4" w:rsidRPr="00D972B9" w:rsidRDefault="00A409F4" w:rsidP="00A409F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72B9">
              <w:rPr>
                <w:rFonts w:ascii="Arial" w:hAnsi="Arial" w:cs="Arial"/>
                <w:b/>
                <w:sz w:val="20"/>
                <w:szCs w:val="20"/>
                <w:lang w:val="en-US"/>
              </w:rPr>
              <w:t>Manufacturing hydrogen stations</w:t>
            </w:r>
          </w:p>
          <w:p w14:paraId="52926A65" w14:textId="77777777" w:rsidR="00A409F4" w:rsidRPr="00D972B9" w:rsidRDefault="00A409F4" w:rsidP="00A409F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72B9">
              <w:rPr>
                <w:rFonts w:ascii="Arial" w:hAnsi="Arial" w:cs="Arial"/>
                <w:b/>
                <w:sz w:val="20"/>
                <w:szCs w:val="20"/>
                <w:lang w:val="en-US"/>
              </w:rPr>
              <w:t>CNG (BioCNG, RNG) fueling stations</w:t>
            </w:r>
          </w:p>
          <w:p w14:paraId="56087337" w14:textId="77777777" w:rsidR="00A409F4" w:rsidRPr="00D972B9" w:rsidRDefault="00A409F4" w:rsidP="00A409F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72B9">
              <w:rPr>
                <w:rFonts w:ascii="Arial" w:hAnsi="Arial" w:cs="Arial"/>
                <w:b/>
                <w:sz w:val="20"/>
                <w:szCs w:val="20"/>
                <w:lang w:val="en-US"/>
              </w:rPr>
              <w:t>Back-up energy sources (systems)</w:t>
            </w:r>
          </w:p>
          <w:p w14:paraId="1D38EC9C" w14:textId="77777777" w:rsidR="00A409F4" w:rsidRPr="00D972B9" w:rsidRDefault="00A409F4" w:rsidP="00A409F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72B9">
              <w:rPr>
                <w:rFonts w:ascii="Arial" w:hAnsi="Arial" w:cs="Arial"/>
                <w:b/>
                <w:sz w:val="20"/>
                <w:szCs w:val="20"/>
                <w:lang w:val="en-US"/>
              </w:rPr>
              <w:t>Heavy-industrial companies considering H2, CNG (BioCNG, RNG) as the energy source</w:t>
            </w:r>
          </w:p>
          <w:p w14:paraId="2BD9D82B" w14:textId="77777777" w:rsidR="00A409F4" w:rsidRPr="00D972B9" w:rsidRDefault="00A409F4" w:rsidP="00A409F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72B9">
              <w:rPr>
                <w:rFonts w:ascii="Arial" w:hAnsi="Arial" w:cs="Arial"/>
                <w:b/>
                <w:sz w:val="20"/>
                <w:szCs w:val="20"/>
                <w:lang w:val="en-US"/>
              </w:rPr>
              <w:t>Mobility applications – forklifts, heavy-duty vehicles, trucks, tractors, trains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ships</w:t>
            </w:r>
          </w:p>
          <w:p w14:paraId="5F46A5A3" w14:textId="77777777" w:rsidR="00A409F4" w:rsidRPr="00D972B9" w:rsidRDefault="00A409F4" w:rsidP="00A409F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72B9">
              <w:rPr>
                <w:rFonts w:ascii="Arial" w:hAnsi="Arial" w:cs="Arial"/>
                <w:b/>
                <w:sz w:val="20"/>
                <w:szCs w:val="20"/>
                <w:lang w:val="en-US"/>
              </w:rPr>
              <w:t>Alternative mobility applications</w:t>
            </w:r>
          </w:p>
          <w:p w14:paraId="32D44BA1" w14:textId="77777777" w:rsidR="00A409F4" w:rsidRDefault="00A409F4" w:rsidP="00A409F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72B9">
              <w:rPr>
                <w:rFonts w:ascii="Arial" w:hAnsi="Arial" w:cs="Arial"/>
                <w:b/>
                <w:sz w:val="20"/>
                <w:szCs w:val="20"/>
                <w:lang w:val="en-US"/>
              </w:rPr>
              <w:t>Gas companies providing services in field of H2, CNG (BioCNG, RNG)</w:t>
            </w:r>
          </w:p>
          <w:p w14:paraId="46381417" w14:textId="25290C94" w:rsidR="00705C17" w:rsidRPr="00A409F4" w:rsidRDefault="00A409F4" w:rsidP="00A409F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09F4">
              <w:rPr>
                <w:rFonts w:ascii="Arial" w:hAnsi="Arial" w:cs="Arial"/>
                <w:b/>
                <w:sz w:val="20"/>
                <w:szCs w:val="20"/>
                <w:lang w:val="en-US"/>
              </w:rPr>
              <w:t>Energy players – companies providing alternative energy sources</w:t>
            </w:r>
          </w:p>
        </w:tc>
      </w:tr>
    </w:tbl>
    <w:p w14:paraId="52DF5FA2" w14:textId="77777777" w:rsidR="00063E9D" w:rsidRPr="0094528B" w:rsidRDefault="00063E9D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14:paraId="5E64ACFB" w14:textId="77777777" w:rsidR="00880696" w:rsidRPr="0094528B" w:rsidRDefault="00880696" w:rsidP="0094528B">
      <w:pPr>
        <w:rPr>
          <w:rFonts w:ascii="Arial" w:hAnsi="Arial" w:cs="Arial"/>
          <w:b/>
          <w:sz w:val="24"/>
          <w:szCs w:val="24"/>
          <w:lang w:val="en-US"/>
        </w:rPr>
      </w:pPr>
    </w:p>
    <w:p w14:paraId="574CFEEF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538EDE66" w14:textId="77777777" w:rsidTr="00F33004">
        <w:trPr>
          <w:trHeight w:val="788"/>
        </w:trPr>
        <w:tc>
          <w:tcPr>
            <w:tcW w:w="9576" w:type="dxa"/>
          </w:tcPr>
          <w:p w14:paraId="3FDD0A4A" w14:textId="77777777" w:rsidR="00093C85" w:rsidRDefault="00093C85" w:rsidP="00093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Reduction of the carbon emission footprint in field of transportation, heavy industry, energy sector</w:t>
            </w:r>
          </w:p>
          <w:p w14:paraId="1DE08F34" w14:textId="77777777" w:rsidR="00093C85" w:rsidRDefault="00093C85" w:rsidP="00093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of the green energy technologies (railway, on-road, sea)</w:t>
            </w:r>
          </w:p>
          <w:p w14:paraId="4AE27AF5" w14:textId="77777777" w:rsidR="00093C85" w:rsidRDefault="00093C85" w:rsidP="00093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of the energy storage and accumulation</w:t>
            </w:r>
          </w:p>
          <w:p w14:paraId="6D93E444" w14:textId="77777777" w:rsidR="00093C85" w:rsidRDefault="00093C85" w:rsidP="00093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 research and development</w:t>
            </w:r>
          </w:p>
          <w:p w14:paraId="5DA8E7AF" w14:textId="63062F95" w:rsidR="00093C85" w:rsidRDefault="00093C85" w:rsidP="00093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Technological research and development</w:t>
            </w:r>
          </w:p>
          <w:p w14:paraId="7F5C520C" w14:textId="1C45378B" w:rsidR="00D97FF4" w:rsidRPr="00B42955" w:rsidRDefault="00D97FF4" w:rsidP="00093C8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29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company VÍTKOVICE CYLINDERS is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highly active in the field of R</w:t>
            </w:r>
            <w:r w:rsidR="00894C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 and R&amp;D proven by unique products range such as </w:t>
            </w:r>
            <w:r w:rsidR="00894C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globally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only existing extruded 1000 and 500 bar vessels for hydrogen storage and </w:t>
            </w:r>
            <w:r w:rsidR="00C563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patented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94C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 of the kind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563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technology for the production of extruded stainless steel cylinders and also special production technology for production of extruded cylinders with </w:t>
            </w:r>
            <w:r w:rsidR="00C563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the inner neck. Besides this company holds also a utility models for the special surface treatment of tool steels and extrusion method.</w:t>
            </w:r>
          </w:p>
          <w:p w14:paraId="33CCFC77" w14:textId="77777777" w:rsidR="00093C85" w:rsidRPr="00914087" w:rsidRDefault="00093C85" w:rsidP="00093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E3D8A" w14:textId="77777777" w:rsidR="00093C85" w:rsidRDefault="00093C85" w:rsidP="00093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words : </w:t>
            </w:r>
          </w:p>
          <w:p w14:paraId="098BCEF2" w14:textId="60AC3C89" w:rsidR="00880696" w:rsidRPr="005D5E2C" w:rsidRDefault="00093C85" w:rsidP="00AF4091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94528B">
              <w:rPr>
                <w:b/>
                <w:sz w:val="20"/>
                <w:szCs w:val="20"/>
                <w:lang w:val="en-US"/>
              </w:rPr>
              <w:t xml:space="preserve">Carbon emissions, green energy, pressure systems, </w:t>
            </w:r>
            <w:r w:rsidR="00AD1D5D" w:rsidRPr="0094528B">
              <w:rPr>
                <w:b/>
                <w:sz w:val="20"/>
                <w:szCs w:val="20"/>
                <w:lang w:val="en-US"/>
              </w:rPr>
              <w:t xml:space="preserve">gas </w:t>
            </w:r>
            <w:r w:rsidRPr="0094528B">
              <w:rPr>
                <w:b/>
                <w:sz w:val="20"/>
                <w:szCs w:val="20"/>
                <w:lang w:val="en-US"/>
              </w:rPr>
              <w:t xml:space="preserve">storage systems, energy accumulations, research and development, </w:t>
            </w:r>
            <w:r w:rsidR="00AF4091" w:rsidRPr="0094528B">
              <w:rPr>
                <w:b/>
                <w:sz w:val="20"/>
                <w:szCs w:val="20"/>
                <w:lang w:val="en-US"/>
              </w:rPr>
              <w:t>hydrogen</w:t>
            </w:r>
            <w:r w:rsidRPr="0094528B">
              <w:rPr>
                <w:b/>
                <w:sz w:val="20"/>
                <w:szCs w:val="20"/>
                <w:lang w:val="en-US"/>
              </w:rPr>
              <w:t>, Compressed natural gas, renewable natural gas, bio natural gas</w:t>
            </w:r>
          </w:p>
        </w:tc>
      </w:tr>
    </w:tbl>
    <w:p w14:paraId="2AF6C9A5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8A28992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480ADE7F" w14:textId="77777777" w:rsidTr="00F33004">
        <w:trPr>
          <w:trHeight w:val="555"/>
        </w:trPr>
        <w:tc>
          <w:tcPr>
            <w:tcW w:w="9576" w:type="dxa"/>
          </w:tcPr>
          <w:p w14:paraId="6E847C94" w14:textId="77777777" w:rsidR="00F707D9" w:rsidRPr="007B4400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50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6BAC3219" w14:textId="77777777" w:rsidR="00F707D9" w:rsidRPr="007B4400" w:rsidRDefault="00157F38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400">
              <w:rPr>
                <w:rFonts w:ascii="Arial" w:hAnsi="Arial" w:cs="Arial"/>
                <w:b/>
                <w:sz w:val="20"/>
                <w:szCs w:val="20"/>
              </w:rPr>
              <w:t>VÍTKOVICE CYLINDERS, a.s. , Ostrava, Czech Republic</w:t>
            </w:r>
          </w:p>
        </w:tc>
      </w:tr>
      <w:tr w:rsidR="00F707D9" w:rsidRPr="00AB0435" w14:paraId="0B291EB9" w14:textId="77777777" w:rsidTr="00F33004">
        <w:trPr>
          <w:trHeight w:val="555"/>
        </w:trPr>
        <w:tc>
          <w:tcPr>
            <w:tcW w:w="9576" w:type="dxa"/>
          </w:tcPr>
          <w:p w14:paraId="640679E3" w14:textId="77777777" w:rsidR="00F707D9" w:rsidRPr="002F4450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50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677EEBCE" w14:textId="77777777" w:rsidR="00F707D9" w:rsidRPr="007B4400" w:rsidRDefault="00F707D9" w:rsidP="00157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50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57732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</w:p>
        </w:tc>
      </w:tr>
      <w:tr w:rsidR="00F707D9" w:rsidRPr="00AB0435" w14:paraId="7E164D09" w14:textId="77777777" w:rsidTr="00F33004">
        <w:trPr>
          <w:trHeight w:val="555"/>
        </w:trPr>
        <w:tc>
          <w:tcPr>
            <w:tcW w:w="9576" w:type="dxa"/>
          </w:tcPr>
          <w:p w14:paraId="438C4D5D" w14:textId="77777777" w:rsidR="00F707D9" w:rsidRPr="007B4400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50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7880BE6D" w14:textId="77777777" w:rsidR="00F707D9" w:rsidRPr="007B4400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50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2F44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5D222A4F" w14:textId="77777777" w:rsidTr="00F33004">
        <w:trPr>
          <w:trHeight w:val="555"/>
        </w:trPr>
        <w:tc>
          <w:tcPr>
            <w:tcW w:w="9576" w:type="dxa"/>
          </w:tcPr>
          <w:p w14:paraId="389652C6" w14:textId="77777777" w:rsidR="00F707D9" w:rsidRPr="002F4450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50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79F23D2F" w14:textId="77777777" w:rsidR="00F707D9" w:rsidRPr="007B4400" w:rsidRDefault="00157F38" w:rsidP="00157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400">
              <w:rPr>
                <w:rFonts w:ascii="Arial" w:hAnsi="Arial" w:cs="Arial"/>
                <w:b/>
                <w:sz w:val="20"/>
                <w:szCs w:val="20"/>
              </w:rPr>
              <w:t>www.cylinders.cz</w:t>
            </w:r>
          </w:p>
        </w:tc>
      </w:tr>
      <w:tr w:rsidR="00F707D9" w:rsidRPr="00AB0435" w14:paraId="682FA1E7" w14:textId="77777777" w:rsidTr="00F33004">
        <w:trPr>
          <w:trHeight w:val="555"/>
        </w:trPr>
        <w:tc>
          <w:tcPr>
            <w:tcW w:w="9576" w:type="dxa"/>
          </w:tcPr>
          <w:p w14:paraId="02BE0AD2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50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4FB1BFE7" w14:textId="6B371F05" w:rsidR="0094528B" w:rsidRPr="00B42955" w:rsidRDefault="0094528B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VÍTKOVICE CYLINDERS is the leading company in the field of H2, BioCNG, RNG, and other low-emission gases. We provide all sorts of technologies and products for H2, BioCNG, RNG and other low-emission gases storage and transport. We also provide services in field of non-destructive testing and requalification of all pressure applications. </w:t>
            </w:r>
          </w:p>
          <w:p w14:paraId="711BE1CD" w14:textId="77777777" w:rsidR="0044537F" w:rsidRPr="007B4400" w:rsidRDefault="005F726D" w:rsidP="00A811F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>is a global producer with the largest share in the European steel cylinder market. The company’s export targets all the continents. In selected territories, the holding builds not only a market position but also new production facilities.</w:t>
            </w:r>
          </w:p>
          <w:p w14:paraId="55B260FE" w14:textId="3CADF17C" w:rsidR="0044537F" w:rsidRPr="007B4400" w:rsidRDefault="005F726D" w:rsidP="00A811F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is the only company that is capable to produce seamless steel </w:t>
            </w:r>
            <w:r w:rsidR="00A811F2"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H2, BioCNG, RNG pressure vessels </w:t>
            </w:r>
            <w:r w:rsidR="00C57732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from 100bar  </w:t>
            </w:r>
            <w:r w:rsidR="00A811F2"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>up to 1050</w:t>
            </w:r>
            <w:r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>bar by using method of reverse extrusion</w:t>
            </w:r>
            <w:r w:rsidR="00A811F2"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>.</w:t>
            </w:r>
          </w:p>
          <w:p w14:paraId="373FE34A" w14:textId="77777777" w:rsidR="0044537F" w:rsidRPr="007B4400" w:rsidRDefault="005F726D" w:rsidP="00A811F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>builds its future on the princi</w:t>
            </w:r>
            <w:r w:rsidR="00A811F2"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>ples of the circular economy focused</w:t>
            </w:r>
            <w:r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on the ability to us</w:t>
            </w:r>
            <w:r w:rsidR="00A811F2"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e primary production waste and </w:t>
            </w:r>
            <w:r w:rsidRPr="007B4400">
              <w:rPr>
                <w:rFonts w:ascii="Arial" w:hAnsi="Arial" w:cs="Arial"/>
                <w:b/>
                <w:sz w:val="20"/>
                <w:szCs w:val="20"/>
                <w:lang w:val="cs-CZ"/>
              </w:rPr>
              <w:t>using modern technologies, to produce a suitable and environmentally friendly product without it. Mobile and virtual gas pipeline systems developed by Cylinders Holding confirm that there are comfortable, environmentally friendly and economical top-quality solutions that reduce the burden on our planet.</w:t>
            </w:r>
          </w:p>
          <w:p w14:paraId="28FF60C1" w14:textId="77777777" w:rsidR="00A811F2" w:rsidRPr="007B4400" w:rsidRDefault="00A811F2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6631A4D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22F4A75C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14:paraId="52C09C93" w14:textId="77777777" w:rsidTr="00F33004">
        <w:tc>
          <w:tcPr>
            <w:tcW w:w="2088" w:type="dxa"/>
          </w:tcPr>
          <w:p w14:paraId="1EC52E6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</w:t>
            </w:r>
            <w:r w:rsidR="00A811F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811F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488" w:type="dxa"/>
          </w:tcPr>
          <w:p w14:paraId="0D9288FB" w14:textId="77777777" w:rsidR="00F707D9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Jiří Brož</w:t>
            </w:r>
          </w:p>
          <w:p w14:paraId="499DAAF2" w14:textId="77777777" w:rsidR="00A811F2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Pavel Kučera</w:t>
            </w:r>
          </w:p>
          <w:p w14:paraId="40B3F4BC" w14:textId="77777777" w:rsidR="00A811F2" w:rsidRPr="00AB0435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Petr Hofrík</w:t>
            </w:r>
          </w:p>
        </w:tc>
      </w:tr>
      <w:tr w:rsidR="00F707D9" w:rsidRPr="00AB0435" w14:paraId="0D6350B7" w14:textId="77777777" w:rsidTr="00F33004">
        <w:tc>
          <w:tcPr>
            <w:tcW w:w="2088" w:type="dxa"/>
          </w:tcPr>
          <w:p w14:paraId="424389C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40A1B25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2C03196" w14:textId="77777777" w:rsidR="00F707D9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+420606034073</w:t>
            </w:r>
          </w:p>
          <w:p w14:paraId="223B047C" w14:textId="77777777" w:rsidR="00A811F2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+420702201757</w:t>
            </w:r>
          </w:p>
          <w:p w14:paraId="4D27DD58" w14:textId="77777777" w:rsidR="00A811F2" w:rsidRPr="00AB0435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+420725738045</w:t>
            </w:r>
          </w:p>
        </w:tc>
      </w:tr>
      <w:tr w:rsidR="00F707D9" w:rsidRPr="00AB0435" w14:paraId="31144A49" w14:textId="77777777" w:rsidTr="00F33004">
        <w:tc>
          <w:tcPr>
            <w:tcW w:w="2088" w:type="dxa"/>
          </w:tcPr>
          <w:p w14:paraId="361C247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0B0CF7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A13CBF7" w14:textId="77777777" w:rsidR="00F707D9" w:rsidRDefault="00972FB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="00A811F2" w:rsidRPr="00FA733F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jiri.broz@cylinders.cz</w:t>
              </w:r>
            </w:hyperlink>
          </w:p>
          <w:p w14:paraId="7484A45C" w14:textId="77777777" w:rsidR="00A811F2" w:rsidRDefault="00972FB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9" w:history="1">
              <w:r w:rsidR="00A811F2" w:rsidRPr="00FA733F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pavel.kucera@cylinders.cz</w:t>
              </w:r>
            </w:hyperlink>
          </w:p>
          <w:p w14:paraId="1FA25143" w14:textId="77777777" w:rsidR="00A811F2" w:rsidRPr="00AB0435" w:rsidRDefault="00972FB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0" w:history="1">
              <w:r w:rsidR="00A811F2" w:rsidRPr="00FA733F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petr.hofrik@cylinders.cz</w:t>
              </w:r>
            </w:hyperlink>
          </w:p>
        </w:tc>
      </w:tr>
      <w:tr w:rsidR="00F707D9" w:rsidRPr="00AB0435" w14:paraId="0989912E" w14:textId="77777777" w:rsidTr="00F33004">
        <w:tc>
          <w:tcPr>
            <w:tcW w:w="2088" w:type="dxa"/>
          </w:tcPr>
          <w:p w14:paraId="7272AF4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34BB320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C7BEEEC" w14:textId="77777777" w:rsidR="00F707D9" w:rsidRPr="00AB0435" w:rsidRDefault="00A81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14:paraId="7D934316" w14:textId="77777777" w:rsidR="00F707D9" w:rsidRPr="00810FE5" w:rsidRDefault="00F707D9" w:rsidP="00F707D9">
      <w:pPr>
        <w:rPr>
          <w:rFonts w:ascii="Arial" w:hAnsi="Arial" w:cs="Arial"/>
        </w:rPr>
      </w:pPr>
    </w:p>
    <w:p w14:paraId="158197BC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27A6BAC6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DCC9" w14:textId="77777777" w:rsidR="003A5257" w:rsidRDefault="003A5257" w:rsidP="00895596">
      <w:r>
        <w:separator/>
      </w:r>
    </w:p>
  </w:endnote>
  <w:endnote w:type="continuationSeparator" w:id="0">
    <w:p w14:paraId="0921B69E" w14:textId="77777777" w:rsidR="003A5257" w:rsidRDefault="003A5257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D599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C1ED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9CDF1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CFF1" w14:textId="77777777" w:rsidR="003A5257" w:rsidRDefault="003A5257" w:rsidP="00895596">
      <w:r>
        <w:separator/>
      </w:r>
    </w:p>
  </w:footnote>
  <w:footnote w:type="continuationSeparator" w:id="0">
    <w:p w14:paraId="30191933" w14:textId="77777777" w:rsidR="003A5257" w:rsidRDefault="003A5257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22C5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DB83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18ED4EE" wp14:editId="6F8B8F3A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5802A7A5" wp14:editId="78E63D47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50A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3449"/>
    <w:multiLevelType w:val="hybridMultilevel"/>
    <w:tmpl w:val="38405AA8"/>
    <w:lvl w:ilvl="0" w:tplc="7BA25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E1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C0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E1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A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D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4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F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B19E4"/>
    <w:multiLevelType w:val="hybridMultilevel"/>
    <w:tmpl w:val="052A8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3E9D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3C85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2632D"/>
    <w:rsid w:val="001334CD"/>
    <w:rsid w:val="001356BD"/>
    <w:rsid w:val="00142AFE"/>
    <w:rsid w:val="0014619A"/>
    <w:rsid w:val="00150566"/>
    <w:rsid w:val="001505CC"/>
    <w:rsid w:val="00154514"/>
    <w:rsid w:val="00157F38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4450"/>
    <w:rsid w:val="002F7BA1"/>
    <w:rsid w:val="00302588"/>
    <w:rsid w:val="00306793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471DA"/>
    <w:rsid w:val="003556C6"/>
    <w:rsid w:val="00361DF7"/>
    <w:rsid w:val="00363034"/>
    <w:rsid w:val="00363223"/>
    <w:rsid w:val="003635FF"/>
    <w:rsid w:val="0036388D"/>
    <w:rsid w:val="00363E7F"/>
    <w:rsid w:val="00364FB3"/>
    <w:rsid w:val="003669EF"/>
    <w:rsid w:val="00371EA6"/>
    <w:rsid w:val="00373237"/>
    <w:rsid w:val="003834F1"/>
    <w:rsid w:val="00387A27"/>
    <w:rsid w:val="003901A7"/>
    <w:rsid w:val="003A1735"/>
    <w:rsid w:val="003A2AA2"/>
    <w:rsid w:val="003A5257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4537F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5F726D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05C17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4400"/>
    <w:rsid w:val="007B7B26"/>
    <w:rsid w:val="007C3869"/>
    <w:rsid w:val="007D4D9C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176A3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4C7A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361F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4528B"/>
    <w:rsid w:val="009517E6"/>
    <w:rsid w:val="00954E21"/>
    <w:rsid w:val="00962BE1"/>
    <w:rsid w:val="009655F7"/>
    <w:rsid w:val="00965743"/>
    <w:rsid w:val="0097126F"/>
    <w:rsid w:val="00972FB5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9F4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1F2"/>
    <w:rsid w:val="00A81794"/>
    <w:rsid w:val="00A8506D"/>
    <w:rsid w:val="00A85B86"/>
    <w:rsid w:val="00A86E65"/>
    <w:rsid w:val="00A93A93"/>
    <w:rsid w:val="00A96357"/>
    <w:rsid w:val="00A96B3F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5BBB"/>
    <w:rsid w:val="00AC0D3B"/>
    <w:rsid w:val="00AC3BCA"/>
    <w:rsid w:val="00AC4A09"/>
    <w:rsid w:val="00AC6207"/>
    <w:rsid w:val="00AD1D5D"/>
    <w:rsid w:val="00AD711D"/>
    <w:rsid w:val="00AE402D"/>
    <w:rsid w:val="00AE7DF2"/>
    <w:rsid w:val="00AF1161"/>
    <w:rsid w:val="00AF409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1EB8"/>
    <w:rsid w:val="00B32AA0"/>
    <w:rsid w:val="00B36B0D"/>
    <w:rsid w:val="00B4072B"/>
    <w:rsid w:val="00B42955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6391"/>
    <w:rsid w:val="00C57732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972B9"/>
    <w:rsid w:val="00D97FF4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1205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B6891"/>
    <w:rsid w:val="00EC6E04"/>
    <w:rsid w:val="00ED1B5F"/>
    <w:rsid w:val="00ED2376"/>
    <w:rsid w:val="00ED7205"/>
    <w:rsid w:val="00EE441A"/>
    <w:rsid w:val="00EE7227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0D3EA"/>
  <w15:docId w15:val="{2E55D5B3-686E-41BC-B0E9-757EED01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532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602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900">
          <w:marLeft w:val="85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broz@cylinder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tr.hofrik@cylinder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kucera@cylinder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DD63-EF2C-4C22-BCD2-E501DE0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6</cp:revision>
  <cp:lastPrinted>2009-07-23T09:36:00Z</cp:lastPrinted>
  <dcterms:created xsi:type="dcterms:W3CDTF">2020-08-10T13:19:00Z</dcterms:created>
  <dcterms:modified xsi:type="dcterms:W3CDTF">2020-09-21T14:45:00Z</dcterms:modified>
</cp:coreProperties>
</file>