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4F1" w:rsidRPr="004B34F1" w:rsidRDefault="004B34F1" w:rsidP="004B3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F1">
              <w:rPr>
                <w:rFonts w:ascii="Arial" w:hAnsi="Arial" w:cs="Arial"/>
                <w:b/>
                <w:sz w:val="20"/>
                <w:szCs w:val="20"/>
              </w:rPr>
              <w:t>LC-GD-1-2-</w:t>
            </w:r>
            <w:proofErr w:type="gramStart"/>
            <w:r w:rsidRPr="004B34F1">
              <w:rPr>
                <w:rFonts w:ascii="Arial" w:hAnsi="Arial" w:cs="Arial"/>
                <w:b/>
                <w:sz w:val="20"/>
                <w:szCs w:val="20"/>
              </w:rPr>
              <w:t>2020 :</w:t>
            </w:r>
            <w:proofErr w:type="gramEnd"/>
            <w:r w:rsidRPr="004B34F1">
              <w:rPr>
                <w:rFonts w:ascii="Arial" w:hAnsi="Arial" w:cs="Arial"/>
                <w:b/>
                <w:sz w:val="20"/>
                <w:szCs w:val="20"/>
              </w:rPr>
              <w:t xml:space="preserve"> Towards Climate Neutral &amp; socially innovative cities</w:t>
            </w:r>
          </w:p>
          <w:p w:rsidR="004B34F1" w:rsidRPr="004B34F1" w:rsidRDefault="004B34F1" w:rsidP="004B3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F1">
              <w:rPr>
                <w:rFonts w:ascii="Arial" w:hAnsi="Arial" w:cs="Arial"/>
                <w:b/>
                <w:sz w:val="20"/>
                <w:szCs w:val="20"/>
              </w:rPr>
              <w:t>LC-GD-1-3-</w:t>
            </w:r>
            <w:proofErr w:type="gramStart"/>
            <w:r w:rsidRPr="004B34F1">
              <w:rPr>
                <w:rFonts w:ascii="Arial" w:hAnsi="Arial" w:cs="Arial"/>
                <w:b/>
                <w:sz w:val="20"/>
                <w:szCs w:val="20"/>
              </w:rPr>
              <w:t>2020 :</w:t>
            </w:r>
            <w:proofErr w:type="gramEnd"/>
            <w:r w:rsidRPr="004B34F1">
              <w:rPr>
                <w:rFonts w:ascii="Arial" w:hAnsi="Arial" w:cs="Arial"/>
                <w:b/>
                <w:sz w:val="20"/>
                <w:szCs w:val="20"/>
              </w:rPr>
              <w:t xml:space="preserve"> Climate-resilient innovation packages for EU regions</w:t>
            </w:r>
          </w:p>
          <w:p w:rsidR="004B34F1" w:rsidRPr="004B34F1" w:rsidRDefault="004B34F1" w:rsidP="004B3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F1">
              <w:rPr>
                <w:rFonts w:ascii="Arial" w:hAnsi="Arial" w:cs="Arial"/>
                <w:b/>
                <w:sz w:val="20"/>
                <w:szCs w:val="20"/>
              </w:rPr>
              <w:t>LC-GD-4-1-</w:t>
            </w:r>
            <w:proofErr w:type="gramStart"/>
            <w:r w:rsidRPr="004B34F1">
              <w:rPr>
                <w:rFonts w:ascii="Arial" w:hAnsi="Arial" w:cs="Arial"/>
                <w:b/>
                <w:sz w:val="20"/>
                <w:szCs w:val="20"/>
              </w:rPr>
              <w:t>2020 :</w:t>
            </w:r>
            <w:proofErr w:type="gramEnd"/>
            <w:r w:rsidRPr="004B34F1">
              <w:rPr>
                <w:rFonts w:ascii="Arial" w:hAnsi="Arial" w:cs="Arial"/>
                <w:b/>
                <w:sz w:val="20"/>
                <w:szCs w:val="20"/>
              </w:rPr>
              <w:t xml:space="preserve"> Building and renovating in an energy and resource efficient way</w:t>
            </w:r>
          </w:p>
          <w:p w:rsidR="00F707D9" w:rsidRPr="00AB0435" w:rsidRDefault="00F707D9" w:rsidP="00880696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4B34F1" w:rsidRDefault="004B34F1" w:rsidP="005D704F">
            <w:pPr>
              <w:jc w:val="both"/>
              <w:rPr>
                <w:lang w:val="en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Formtovanv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Formtovanv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:rsidR="008D1B93" w:rsidRDefault="008D1B93" w:rsidP="008D1B93">
      <w:pPr>
        <w:pStyle w:val="Formtovanv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Formtovanv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4B34F1"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Formtovanv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Formtovanv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Formtovanv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5D704F" w:rsidRDefault="005D704F" w:rsidP="005D704F">
            <w:pPr>
              <w:jc w:val="both"/>
              <w:rPr>
                <w:rStyle w:val="tlid-translation"/>
                <w:lang w:val="en"/>
              </w:rPr>
            </w:pPr>
            <w:r w:rsidRPr="00EF467A">
              <w:rPr>
                <w:rStyle w:val="tlid-translation"/>
                <w:lang w:val="en"/>
              </w:rPr>
              <w:t>The NCEU is particularly interested in projects of</w:t>
            </w:r>
            <w:r>
              <w:rPr>
                <w:rStyle w:val="tlid-translation"/>
                <w:lang w:val="en"/>
              </w:rPr>
              <w:t xml:space="preserve">: 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lang w:val="en"/>
              </w:rPr>
              <w:t xml:space="preserve">energy savings on buildings of all types, 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lang w:val="en"/>
              </w:rPr>
              <w:t>renewable energy production, local sources and decentralization of energy production</w:t>
            </w:r>
            <w:r>
              <w:rPr>
                <w:rStyle w:val="tlid-translation"/>
                <w:lang w:val="en"/>
              </w:rPr>
              <w:t>,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lang w:val="en"/>
              </w:rPr>
              <w:t>energy storage</w:t>
            </w:r>
            <w:r>
              <w:rPr>
                <w:rStyle w:val="tlid-translation"/>
                <w:lang w:val="en"/>
              </w:rPr>
              <w:t xml:space="preserve"> and</w:t>
            </w:r>
            <w:r w:rsidRPr="005A6C23">
              <w:rPr>
                <w:rStyle w:val="tlid-translation"/>
                <w:lang w:val="en"/>
              </w:rPr>
              <w:t xml:space="preserve"> battery systems,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lang w:val="en"/>
              </w:rPr>
              <w:t>circular economics - conversion of waste into energy (biogas, etc.),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lang w:val="en"/>
              </w:rPr>
              <w:t>preparation and implementation of mitigation and adaptation strategies,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lang w:val="en"/>
              </w:rPr>
            </w:pPr>
            <w:proofErr w:type="spellStart"/>
            <w:r w:rsidRPr="005A6C23">
              <w:rPr>
                <w:rStyle w:val="tlid-translation"/>
                <w:lang w:val="en"/>
              </w:rPr>
              <w:t>electromobility</w:t>
            </w:r>
            <w:proofErr w:type="spellEnd"/>
            <w:r w:rsidRPr="005A6C23">
              <w:rPr>
                <w:rStyle w:val="tlid-translation"/>
                <w:lang w:val="en"/>
              </w:rPr>
              <w:t>.</w:t>
            </w:r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  <w:r w:rsidR="005D704F">
              <w:rPr>
                <w:rFonts w:ascii="Arial" w:hAnsi="Arial" w:cs="Arial"/>
                <w:b/>
                <w:sz w:val="20"/>
                <w:szCs w:val="20"/>
              </w:rPr>
              <w:t>energy savings; renewable energy production; local sources; mitigation strategy; adaptation strategy</w:t>
            </w:r>
          </w:p>
        </w:tc>
      </w:tr>
    </w:tbl>
    <w:p w:rsidR="00880696" w:rsidRDefault="00880696" w:rsidP="00880696">
      <w:pPr>
        <w:pStyle w:val="Formtovanv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Formtovanv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5D704F" w:rsidRDefault="005D704F" w:rsidP="005D704F">
            <w:pPr>
              <w:jc w:val="both"/>
              <w:rPr>
                <w:lang w:val="en"/>
              </w:rPr>
            </w:pPr>
            <w:r w:rsidRPr="005A6C23">
              <w:rPr>
                <w:rStyle w:val="tlid-translation"/>
                <w:lang w:val="en"/>
              </w:rPr>
              <w:t>For project implementation the NCEU offers:</w:t>
            </w:r>
            <w:r w:rsidRPr="005A6C23">
              <w:rPr>
                <w:lang w:val="en"/>
              </w:rPr>
              <w:t xml:space="preserve"> 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both"/>
              <w:rPr>
                <w:lang w:val="en"/>
              </w:rPr>
            </w:pPr>
            <w:r w:rsidRPr="005A6C23">
              <w:rPr>
                <w:rStyle w:val="tlid-translation"/>
                <w:lang w:val="en"/>
              </w:rPr>
              <w:t>ability to communicate and disseminate project outputs among the target group of local and regional authorities (2,700 entities), entrepreneurs (16,000 entities) and experts,</w:t>
            </w:r>
          </w:p>
          <w:p w:rsidR="005D704F" w:rsidRDefault="005D704F" w:rsidP="005D704F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both"/>
              <w:rPr>
                <w:lang w:val="en"/>
              </w:rPr>
            </w:pPr>
            <w:r w:rsidRPr="005A6C23">
              <w:rPr>
                <w:rStyle w:val="tlid-translation"/>
                <w:lang w:val="en"/>
              </w:rPr>
              <w:t>ability to provide various types of infrastructure for pilot verification of project outputs in the Czech Republic, including possible co-financing,</w:t>
            </w:r>
          </w:p>
          <w:p w:rsidR="005D704F" w:rsidRPr="005A6C23" w:rsidRDefault="005D704F" w:rsidP="005D704F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lang w:val="en"/>
              </w:rPr>
              <w:t>ability to involve reputable experts in the above-mentioned fields of activity</w:t>
            </w:r>
            <w:r>
              <w:rPr>
                <w:rStyle w:val="tlid-translation"/>
                <w:lang w:val="en"/>
              </w:rPr>
              <w:t>.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5D704F">
              <w:rPr>
                <w:rFonts w:eastAsia="Calibri"/>
                <w:b/>
                <w:sz w:val="20"/>
                <w:szCs w:val="20"/>
                <w:lang w:val="en-US"/>
              </w:rPr>
              <w:t>communicate; disseminate; local authorities; regional authorities; entrepreneurs; pilot verification;</w:t>
            </w:r>
            <w:bookmarkStart w:id="0" w:name="_GoBack"/>
            <w:bookmarkEnd w:id="0"/>
            <w:r w:rsidR="005D704F">
              <w:rPr>
                <w:b/>
                <w:sz w:val="20"/>
                <w:szCs w:val="20"/>
              </w:rPr>
              <w:t xml:space="preserve"> </w:t>
            </w:r>
            <w:r w:rsidR="005D704F">
              <w:rPr>
                <w:b/>
                <w:sz w:val="20"/>
                <w:szCs w:val="20"/>
              </w:rPr>
              <w:t>mitigation strategy; adaptation strategy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 and country:</w:t>
            </w:r>
          </w:p>
          <w:p w:rsidR="00F707D9" w:rsidRPr="00AB0435" w:rsidRDefault="004B34F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A6C23">
              <w:rPr>
                <w:rStyle w:val="tlid-translation"/>
                <w:b/>
                <w:bCs/>
                <w:lang w:val="en"/>
              </w:rPr>
              <w:t>National Center for Energy Savings</w:t>
            </w:r>
            <w:r>
              <w:rPr>
                <w:rStyle w:val="tlid-translation"/>
                <w:lang w:val="en"/>
              </w:rPr>
              <w:t>, well known as the “</w:t>
            </w:r>
            <w:r w:rsidRPr="005A6C23">
              <w:rPr>
                <w:rStyle w:val="tlid-translation"/>
                <w:b/>
                <w:bCs/>
                <w:lang w:val="en"/>
              </w:rPr>
              <w:t>NCEU</w:t>
            </w:r>
            <w:r>
              <w:rPr>
                <w:rStyle w:val="tlid-translation"/>
                <w:lang w:val="en"/>
              </w:rPr>
              <w:t>”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4B34F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B34F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4B34F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4B34F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 w:history="1">
              <w:r>
                <w:rPr>
                  <w:rStyle w:val="Hypertextovodkaz"/>
                </w:rPr>
                <w:t>http://www.nceu.cz/</w:t>
              </w:r>
            </w:hyperlink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4B34F1" w:rsidRPr="00EF467A" w:rsidRDefault="004B34F1" w:rsidP="004B34F1">
            <w:pPr>
              <w:jc w:val="both"/>
              <w:rPr>
                <w:rStyle w:val="tlid-translation"/>
                <w:lang w:val="en"/>
              </w:rPr>
            </w:pPr>
            <w:r w:rsidRPr="005A6C23">
              <w:rPr>
                <w:rStyle w:val="tlid-translation"/>
                <w:b/>
                <w:bCs/>
                <w:lang w:val="en"/>
              </w:rPr>
              <w:t>National Center for Energy Savings</w:t>
            </w:r>
            <w:r>
              <w:rPr>
                <w:rStyle w:val="tlid-translation"/>
                <w:lang w:val="en"/>
              </w:rPr>
              <w:t>, well known as the “</w:t>
            </w:r>
            <w:r w:rsidRPr="005A6C23">
              <w:rPr>
                <w:rStyle w:val="tlid-translation"/>
                <w:b/>
                <w:bCs/>
                <w:lang w:val="en"/>
              </w:rPr>
              <w:t>NCEU</w:t>
            </w:r>
            <w:r>
              <w:rPr>
                <w:rStyle w:val="tlid-translation"/>
                <w:lang w:val="en"/>
              </w:rPr>
              <w:t xml:space="preserve">” </w:t>
            </w:r>
            <w:r w:rsidRPr="00EF467A">
              <w:rPr>
                <w:rStyle w:val="tlid-translation"/>
                <w:lang w:val="en"/>
              </w:rPr>
              <w:t xml:space="preserve">is the leading organization in the field of energy savings topics and projects in the Czech Republic. Organization has very close contacts to key innovators in the field of mitigation measures. </w:t>
            </w:r>
          </w:p>
          <w:p w:rsidR="004B34F1" w:rsidRPr="00EF467A" w:rsidRDefault="004B34F1" w:rsidP="004B34F1">
            <w:pPr>
              <w:jc w:val="both"/>
              <w:rPr>
                <w:rStyle w:val="tlid-translation"/>
                <w:lang w:val="en"/>
              </w:rPr>
            </w:pPr>
          </w:p>
          <w:p w:rsidR="004B34F1" w:rsidRPr="00EF467A" w:rsidRDefault="004B34F1" w:rsidP="004B34F1">
            <w:pPr>
              <w:jc w:val="both"/>
              <w:rPr>
                <w:shd w:val="clear" w:color="auto" w:fill="F5F5F5"/>
              </w:rPr>
            </w:pPr>
            <w:r w:rsidRPr="00EF467A">
              <w:rPr>
                <w:rStyle w:val="tlid-translation"/>
                <w:lang w:val="en"/>
              </w:rPr>
              <w:t xml:space="preserve">The NCEU has been established by the Czech Chamber of Commerce, the </w:t>
            </w:r>
            <w:r>
              <w:rPr>
                <w:rStyle w:val="tlid-translation"/>
                <w:lang w:val="en"/>
              </w:rPr>
              <w:t>Strategic Framework of the Union of Towns and municipalities in the Smart City area</w:t>
            </w:r>
            <w:r w:rsidRPr="00EF467A">
              <w:rPr>
                <w:rStyle w:val="tlid-translation"/>
                <w:lang w:val="en"/>
              </w:rPr>
              <w:t xml:space="preserve"> and the CEZ Group in 2015 to develop, disseminate and raise awar</w:t>
            </w:r>
            <w:r>
              <w:rPr>
                <w:rStyle w:val="tlid-translation"/>
                <w:lang w:val="en"/>
              </w:rPr>
              <w:t>e</w:t>
            </w:r>
            <w:r w:rsidRPr="00EF467A">
              <w:rPr>
                <w:rStyle w:val="tlid-translation"/>
                <w:lang w:val="en"/>
              </w:rPr>
              <w:t>ne</w:t>
            </w:r>
            <w:r>
              <w:rPr>
                <w:rStyle w:val="tlid-translation"/>
                <w:lang w:val="en"/>
              </w:rPr>
              <w:t xml:space="preserve">ss </w:t>
            </w:r>
            <w:r w:rsidRPr="00EF467A">
              <w:rPr>
                <w:rStyle w:val="tlid-translation"/>
                <w:lang w:val="en"/>
              </w:rPr>
              <w:t>of energy saving needs, the need</w:t>
            </w:r>
            <w:r>
              <w:rPr>
                <w:rStyle w:val="tlid-translation"/>
                <w:lang w:val="en"/>
              </w:rPr>
              <w:t xml:space="preserve"> to reduce energy intensity and maximize energy efficiency.</w:t>
            </w:r>
            <w:r w:rsidRPr="00EF467A">
              <w:rPr>
                <w:rStyle w:val="tlid-translation"/>
                <w:lang w:val="en"/>
              </w:rPr>
              <w:t xml:space="preserve"> </w:t>
            </w:r>
          </w:p>
          <w:p w:rsidR="004B34F1" w:rsidRPr="00EF467A" w:rsidRDefault="004B34F1" w:rsidP="004B34F1">
            <w:pPr>
              <w:jc w:val="both"/>
              <w:rPr>
                <w:rStyle w:val="tlid-translation"/>
                <w:lang w:val="en"/>
              </w:rPr>
            </w:pPr>
            <w:r w:rsidRPr="00EF467A">
              <w:rPr>
                <w:shd w:val="clear" w:color="auto" w:fill="F5F5F5"/>
              </w:rPr>
              <w:br/>
            </w:r>
            <w:r>
              <w:rPr>
                <w:rStyle w:val="tlid-translation"/>
                <w:lang w:val="en"/>
              </w:rPr>
              <w:t xml:space="preserve">Since 2015 the NCEU has concluded many partnerships, inter alia, partnership with the Union of Modern Energy, </w:t>
            </w:r>
            <w:r w:rsidRPr="00EF467A">
              <w:rPr>
                <w:rStyle w:val="tlid-translation"/>
                <w:lang w:val="en"/>
              </w:rPr>
              <w:t>the Association of Energy Managers, research centers and universities as well as the expert organizations that formulate energy, mitigation and adaptation strategies at national and local levels.</w:t>
            </w:r>
          </w:p>
          <w:p w:rsidR="004B34F1" w:rsidRPr="00EF467A" w:rsidRDefault="004B34F1" w:rsidP="004B34F1">
            <w:pPr>
              <w:jc w:val="both"/>
              <w:rPr>
                <w:rStyle w:val="tlid-translation"/>
                <w:lang w:val="en"/>
              </w:rPr>
            </w:pPr>
          </w:p>
          <w:p w:rsidR="004B34F1" w:rsidRDefault="004B34F1" w:rsidP="004B34F1">
            <w:pPr>
              <w:jc w:val="both"/>
              <w:rPr>
                <w:rStyle w:val="tlid-translation"/>
                <w:lang w:val="en"/>
              </w:rPr>
            </w:pPr>
            <w:r w:rsidRPr="00EF467A">
              <w:rPr>
                <w:rStyle w:val="tlid-translation"/>
                <w:lang w:val="en"/>
              </w:rPr>
              <w:t>The team of experts cooperating with the NCEU set the best premises</w:t>
            </w:r>
            <w:r>
              <w:rPr>
                <w:rStyle w:val="tlid-translation"/>
                <w:lang w:val="en"/>
              </w:rPr>
              <w:t xml:space="preserve"> for being perceived as the top professional association in the Czech Republic, with an overlap to public administration and ministries, municipalities, key Czech companies, start-ups and science and research experts. </w:t>
            </w:r>
            <w:r w:rsidRPr="00EF467A">
              <w:rPr>
                <w:rStyle w:val="tlid-translation"/>
                <w:lang w:val="en"/>
              </w:rPr>
              <w:t xml:space="preserve"> 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4B34F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Erika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Sedlarova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B34F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+420 720 737 242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B34F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Pr="007851FC">
                <w:rPr>
                  <w:rStyle w:val="Hypertextovodkaz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erika.sedlarova@nceu.cz</w:t>
              </w:r>
            </w:hyperlink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B34F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3E" w:rsidRDefault="00AA4B3E" w:rsidP="00895596">
      <w:r>
        <w:separator/>
      </w:r>
    </w:p>
  </w:endnote>
  <w:endnote w:type="continuationSeparator" w:id="0">
    <w:p w:rsidR="00AA4B3E" w:rsidRDefault="00AA4B3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3E" w:rsidRDefault="00AA4B3E" w:rsidP="00895596">
      <w:r>
        <w:separator/>
      </w:r>
    </w:p>
  </w:footnote>
  <w:footnote w:type="continuationSeparator" w:id="0">
    <w:p w:rsidR="00AA4B3E" w:rsidRDefault="00AA4B3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Zhlav"/>
      <w:tabs>
        <w:tab w:val="left" w:pos="2208"/>
      </w:tabs>
      <w:jc w:val="both"/>
      <w:rPr>
        <w:lang w:val="fr-FR"/>
      </w:rPr>
    </w:pPr>
    <w:r>
      <w:rPr>
        <w:noProof/>
        <w:lang w:val="cs-CZ" w:eastAsia="cs-CZ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cs-CZ" w:eastAsia="cs-CZ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9D2"/>
    <w:multiLevelType w:val="hybridMultilevel"/>
    <w:tmpl w:val="B2B0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75D"/>
    <w:multiLevelType w:val="hybridMultilevel"/>
    <w:tmpl w:val="1E90D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34F1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D704F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E3B5A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4B3E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60C42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D15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D45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4D75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75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75F2"/>
    <w:rPr>
      <w:rFonts w:ascii="Amerigo BT" w:hAnsi="Amerigo BT"/>
      <w:lang w:val="en-GB" w:eastAsia="fr-FR"/>
    </w:rPr>
  </w:style>
  <w:style w:type="paragraph" w:styleId="Pedmtkomente">
    <w:name w:val="annotation subject"/>
    <w:basedOn w:val="Textkomente"/>
    <w:next w:val="Textkomente"/>
    <w:link w:val="PedmtkomenteChar"/>
    <w:rsid w:val="004D75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Standardnpsmoodstavce"/>
    <w:rsid w:val="00B90E32"/>
  </w:style>
  <w:style w:type="character" w:styleId="Sledovanodkaz">
    <w:name w:val="FollowedHyperlink"/>
    <w:basedOn w:val="Standardnpsmoodstavce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Odstavecseseznamem">
    <w:name w:val="List Paragraph"/>
    <w:basedOn w:val="Normln"/>
    <w:uiPriority w:val="34"/>
    <w:qFormat/>
    <w:rsid w:val="00F707D9"/>
    <w:pPr>
      <w:ind w:left="720"/>
      <w:contextualSpacing/>
    </w:pPr>
  </w:style>
  <w:style w:type="paragraph" w:styleId="Zhlav">
    <w:name w:val="header"/>
    <w:basedOn w:val="Normln"/>
    <w:link w:val="ZhlavChar"/>
    <w:rsid w:val="00895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5596"/>
    <w:rPr>
      <w:rFonts w:ascii="Amerigo BT" w:hAnsi="Amerigo BT"/>
      <w:sz w:val="22"/>
      <w:szCs w:val="22"/>
      <w:lang w:val="en-GB" w:eastAsia="fr-FR"/>
    </w:rPr>
  </w:style>
  <w:style w:type="paragraph" w:styleId="Zpat">
    <w:name w:val="footer"/>
    <w:basedOn w:val="Normln"/>
    <w:link w:val="ZpatChar"/>
    <w:rsid w:val="00895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596"/>
    <w:rPr>
      <w:rFonts w:ascii="Amerigo BT" w:hAnsi="Amerigo BT"/>
      <w:sz w:val="22"/>
      <w:szCs w:val="22"/>
      <w:lang w:val="en-GB" w:eastAsia="fr-FR"/>
    </w:rPr>
  </w:style>
  <w:style w:type="paragraph" w:styleId="FormtovanvHTML">
    <w:name w:val="HTML Preformatted"/>
    <w:basedOn w:val="Normln"/>
    <w:link w:val="FormtovanvHTMLCh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tlid-translation">
    <w:name w:val="tlid-translation"/>
    <w:basedOn w:val="Standardnpsmoodstavce"/>
    <w:rsid w:val="004B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sedlarova@nce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ceu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Uživatel systému Windows</cp:lastModifiedBy>
  <cp:revision>2</cp:revision>
  <cp:lastPrinted>2009-07-23T09:36:00Z</cp:lastPrinted>
  <dcterms:created xsi:type="dcterms:W3CDTF">2020-07-29T21:09:00Z</dcterms:created>
  <dcterms:modified xsi:type="dcterms:W3CDTF">2020-07-29T21:09:00Z</dcterms:modified>
</cp:coreProperties>
</file>