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1099"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281CFBE4" wp14:editId="7AF81F0F">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9F4EE"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9C654F6"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FBE4"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77C9F4EE"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9C654F6"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6560AEA6"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4918F3D1" w14:textId="476E3829"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C53EB2">
        <w:rPr>
          <w:rFonts w:ascii="Arial" w:hAnsi="Arial" w:cs="Arial"/>
          <w:b/>
          <w:sz w:val="24"/>
          <w:szCs w:val="24"/>
        </w:rPr>
        <w:t>31</w:t>
      </w:r>
      <w:r w:rsidR="00921D90">
        <w:rPr>
          <w:rFonts w:ascii="Arial" w:hAnsi="Arial" w:cs="Arial"/>
          <w:b/>
          <w:sz w:val="24"/>
          <w:szCs w:val="24"/>
        </w:rPr>
        <w:t>.08.2020</w:t>
      </w:r>
      <w:r w:rsidRPr="006A0F69">
        <w:rPr>
          <w:rFonts w:ascii="Arial" w:hAnsi="Arial" w:cs="Arial"/>
          <w:b/>
          <w:sz w:val="24"/>
          <w:szCs w:val="24"/>
        </w:rPr>
        <w:t>)</w:t>
      </w:r>
    </w:p>
    <w:p w14:paraId="5D4E66C6"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2FDFFCA" w14:textId="77777777" w:rsidTr="00F33004">
        <w:tc>
          <w:tcPr>
            <w:tcW w:w="9576" w:type="dxa"/>
          </w:tcPr>
          <w:p w14:paraId="23C9AF92" w14:textId="7A1EBC00" w:rsidR="000A5DE1" w:rsidRPr="00392820" w:rsidRDefault="000A5DE1" w:rsidP="00392820">
            <w:pPr>
              <w:pStyle w:val="Paragraphedeliste"/>
              <w:tabs>
                <w:tab w:val="left" w:pos="2640"/>
              </w:tabs>
              <w:rPr>
                <w:rFonts w:ascii="Arial" w:hAnsi="Arial" w:cs="Arial"/>
                <w:b/>
                <w:sz w:val="20"/>
                <w:szCs w:val="20"/>
              </w:rPr>
            </w:pPr>
            <w:r w:rsidRPr="00392820">
              <w:rPr>
                <w:rFonts w:ascii="Arial" w:hAnsi="Arial" w:cs="Arial"/>
                <w:b/>
                <w:sz w:val="20"/>
                <w:szCs w:val="20"/>
              </w:rPr>
              <w:t>LC-GD-</w:t>
            </w:r>
            <w:r w:rsidR="0029181F" w:rsidRPr="00392820">
              <w:rPr>
                <w:rFonts w:ascii="Arial" w:hAnsi="Arial" w:cs="Arial"/>
                <w:b/>
                <w:sz w:val="20"/>
                <w:szCs w:val="20"/>
              </w:rPr>
              <w:t>1.2</w:t>
            </w:r>
            <w:r w:rsidR="00392820" w:rsidRPr="00392820">
              <w:rPr>
                <w:rFonts w:ascii="Arial" w:hAnsi="Arial" w:cs="Arial"/>
                <w:b/>
                <w:sz w:val="20"/>
                <w:szCs w:val="20"/>
              </w:rPr>
              <w:t>: Towards Climate Neutral &amp; socially innovative cities</w:t>
            </w:r>
          </w:p>
          <w:p w14:paraId="0B612E43" w14:textId="5C86EB3E" w:rsidR="000A5DE1" w:rsidRPr="00392820" w:rsidRDefault="000A5DE1" w:rsidP="0029181F">
            <w:pPr>
              <w:pStyle w:val="Paragraphedeliste"/>
              <w:rPr>
                <w:rFonts w:ascii="Arial" w:hAnsi="Arial" w:cs="Arial"/>
                <w:b/>
                <w:sz w:val="20"/>
                <w:szCs w:val="20"/>
              </w:rPr>
            </w:pPr>
            <w:r w:rsidRPr="00392820">
              <w:rPr>
                <w:rFonts w:ascii="Arial" w:hAnsi="Arial" w:cs="Arial"/>
                <w:b/>
                <w:sz w:val="20"/>
                <w:szCs w:val="20"/>
              </w:rPr>
              <w:t>LC-GD-</w:t>
            </w:r>
            <w:r w:rsidR="0029181F" w:rsidRPr="00392820">
              <w:rPr>
                <w:rFonts w:ascii="Arial" w:hAnsi="Arial" w:cs="Arial"/>
                <w:b/>
                <w:sz w:val="20"/>
                <w:szCs w:val="20"/>
              </w:rPr>
              <w:t>9.1</w:t>
            </w:r>
            <w:r w:rsidR="00392820" w:rsidRPr="00392820">
              <w:rPr>
                <w:rFonts w:ascii="Arial" w:hAnsi="Arial" w:cs="Arial"/>
                <w:b/>
                <w:sz w:val="20"/>
                <w:szCs w:val="20"/>
              </w:rPr>
              <w:t>: European Research Infrastructures capacities and services to address European Green Deal challenges</w:t>
            </w:r>
          </w:p>
          <w:p w14:paraId="2A3878FD" w14:textId="22EF0ECF" w:rsidR="000A5DE1" w:rsidRPr="00392820" w:rsidRDefault="000A5DE1" w:rsidP="0029181F">
            <w:pPr>
              <w:pStyle w:val="Paragraphedeliste"/>
              <w:rPr>
                <w:rFonts w:ascii="Arial" w:hAnsi="Arial" w:cs="Arial"/>
                <w:b/>
                <w:sz w:val="20"/>
                <w:szCs w:val="20"/>
              </w:rPr>
            </w:pPr>
            <w:r w:rsidRPr="00392820">
              <w:rPr>
                <w:rFonts w:ascii="Arial" w:hAnsi="Arial" w:cs="Arial"/>
                <w:b/>
                <w:sz w:val="20"/>
                <w:szCs w:val="20"/>
              </w:rPr>
              <w:t>LC-GD-</w:t>
            </w:r>
            <w:r w:rsidR="0029181F" w:rsidRPr="00392820">
              <w:rPr>
                <w:rFonts w:ascii="Arial" w:hAnsi="Arial" w:cs="Arial"/>
                <w:b/>
                <w:sz w:val="20"/>
                <w:szCs w:val="20"/>
              </w:rPr>
              <w:t>9.2</w:t>
            </w:r>
            <w:r w:rsidR="00392820" w:rsidRPr="00392820">
              <w:rPr>
                <w:rFonts w:ascii="Arial" w:hAnsi="Arial" w:cs="Arial"/>
                <w:b/>
                <w:sz w:val="20"/>
                <w:szCs w:val="20"/>
              </w:rPr>
              <w:t>: Developing end-user products and services for all stakeholders and citizens supporting climate adaptation and mitigation</w:t>
            </w:r>
          </w:p>
          <w:p w14:paraId="6825C726" w14:textId="77777777" w:rsidR="00392820" w:rsidRPr="00392820" w:rsidRDefault="000A5DE1" w:rsidP="00392820">
            <w:pPr>
              <w:pStyle w:val="Paragraphedeliste"/>
              <w:rPr>
                <w:rFonts w:ascii="Arial" w:hAnsi="Arial" w:cs="Arial"/>
                <w:b/>
                <w:sz w:val="20"/>
                <w:szCs w:val="20"/>
              </w:rPr>
            </w:pPr>
            <w:r w:rsidRPr="00392820">
              <w:rPr>
                <w:rFonts w:ascii="Arial" w:hAnsi="Arial" w:cs="Arial"/>
                <w:b/>
                <w:sz w:val="20"/>
                <w:szCs w:val="20"/>
              </w:rPr>
              <w:t>LC-GD-</w:t>
            </w:r>
            <w:hyperlink r:id="rId7" w:history="1"/>
            <w:r w:rsidR="0029181F" w:rsidRPr="00392820">
              <w:rPr>
                <w:rFonts w:ascii="Arial" w:hAnsi="Arial" w:cs="Arial"/>
                <w:b/>
                <w:sz w:val="20"/>
                <w:szCs w:val="20"/>
              </w:rPr>
              <w:t>10.1</w:t>
            </w:r>
            <w:r w:rsidR="00392820" w:rsidRPr="00392820">
              <w:rPr>
                <w:rFonts w:ascii="Arial" w:hAnsi="Arial" w:cs="Arial"/>
                <w:b/>
                <w:sz w:val="20"/>
                <w:szCs w:val="20"/>
              </w:rPr>
              <w:t xml:space="preserve">: </w:t>
            </w:r>
            <w:r w:rsidR="00392820" w:rsidRPr="00392820">
              <w:rPr>
                <w:rFonts w:ascii="Arial" w:hAnsi="Arial" w:cs="Arial"/>
                <w:b/>
                <w:sz w:val="20"/>
                <w:szCs w:val="20"/>
              </w:rPr>
              <w:t>10.1 European capacities for citizen deliberation and participation for the Green Deal</w:t>
            </w:r>
          </w:p>
          <w:p w14:paraId="6092536D" w14:textId="15529441" w:rsidR="000A5DE1" w:rsidRPr="00392820" w:rsidRDefault="000A5DE1" w:rsidP="0029181F">
            <w:pPr>
              <w:pStyle w:val="Paragraphedeliste"/>
              <w:rPr>
                <w:rFonts w:ascii="Arial" w:hAnsi="Arial" w:cs="Arial"/>
                <w:b/>
                <w:sz w:val="20"/>
                <w:szCs w:val="20"/>
              </w:rPr>
            </w:pPr>
            <w:r w:rsidRPr="00392820">
              <w:rPr>
                <w:rFonts w:ascii="Arial" w:hAnsi="Arial" w:cs="Arial"/>
                <w:b/>
                <w:sz w:val="20"/>
                <w:szCs w:val="20"/>
              </w:rPr>
              <w:t>LC-GD-</w:t>
            </w:r>
            <w:r w:rsidR="0029181F" w:rsidRPr="00392820">
              <w:rPr>
                <w:rFonts w:ascii="Arial" w:hAnsi="Arial" w:cs="Arial"/>
                <w:b/>
                <w:sz w:val="20"/>
                <w:szCs w:val="20"/>
              </w:rPr>
              <w:t>10.2</w:t>
            </w:r>
            <w:r w:rsidR="00392820" w:rsidRPr="00392820">
              <w:rPr>
                <w:rFonts w:ascii="Arial" w:hAnsi="Arial" w:cs="Arial"/>
                <w:b/>
                <w:sz w:val="20"/>
                <w:szCs w:val="20"/>
              </w:rPr>
              <w:t xml:space="preserve">: </w:t>
            </w:r>
            <w:r w:rsidR="00392820" w:rsidRPr="00392820">
              <w:rPr>
                <w:rFonts w:ascii="Arial" w:hAnsi="Arial" w:cs="Arial"/>
                <w:b/>
                <w:sz w:val="20"/>
                <w:szCs w:val="20"/>
              </w:rPr>
              <w:t>Behavioural, social and cultural change for the Green Deal</w:t>
            </w:r>
          </w:p>
          <w:p w14:paraId="689764AC" w14:textId="76B0E64C" w:rsidR="0029181F" w:rsidRPr="0029181F" w:rsidRDefault="000A5DE1" w:rsidP="0029181F">
            <w:pPr>
              <w:pStyle w:val="Paragraphedeliste"/>
              <w:rPr>
                <w:rFonts w:ascii="Arial" w:hAnsi="Arial" w:cs="Arial"/>
                <w:b/>
                <w:sz w:val="20"/>
                <w:szCs w:val="20"/>
              </w:rPr>
            </w:pPr>
            <w:r w:rsidRPr="00392820">
              <w:rPr>
                <w:rFonts w:ascii="Arial" w:hAnsi="Arial" w:cs="Arial"/>
                <w:b/>
                <w:sz w:val="20"/>
                <w:szCs w:val="20"/>
              </w:rPr>
              <w:t>LC-GD-</w:t>
            </w:r>
            <w:r w:rsidR="0029181F" w:rsidRPr="00392820">
              <w:rPr>
                <w:rFonts w:ascii="Arial" w:hAnsi="Arial" w:cs="Arial"/>
                <w:b/>
                <w:sz w:val="20"/>
                <w:szCs w:val="20"/>
              </w:rPr>
              <w:t>10.3</w:t>
            </w:r>
            <w:r w:rsidR="00392820" w:rsidRPr="00392820">
              <w:rPr>
                <w:rFonts w:ascii="Arial" w:hAnsi="Arial" w:cs="Arial"/>
                <w:b/>
                <w:sz w:val="20"/>
                <w:szCs w:val="20"/>
              </w:rPr>
              <w:t xml:space="preserve">: </w:t>
            </w:r>
            <w:r w:rsidR="00392820" w:rsidRPr="00392820">
              <w:rPr>
                <w:rFonts w:ascii="Arial" w:hAnsi="Arial" w:cs="Arial"/>
                <w:b/>
                <w:sz w:val="20"/>
                <w:szCs w:val="20"/>
              </w:rPr>
              <w:t>Enabling citize</w:t>
            </w:r>
            <w:bookmarkStart w:id="0" w:name="_GoBack"/>
            <w:bookmarkEnd w:id="0"/>
            <w:r w:rsidR="00392820" w:rsidRPr="00392820">
              <w:rPr>
                <w:rFonts w:ascii="Arial" w:hAnsi="Arial" w:cs="Arial"/>
                <w:b/>
                <w:sz w:val="20"/>
                <w:szCs w:val="20"/>
              </w:rPr>
              <w:t>ns to act on climate change and environmental protection through education, citizen science, observation initiatives, and civic involvement</w:t>
            </w:r>
          </w:p>
        </w:tc>
      </w:tr>
    </w:tbl>
    <w:p w14:paraId="354AB20A" w14:textId="77777777" w:rsidR="00F707D9" w:rsidRDefault="00F707D9" w:rsidP="00F707D9">
      <w:pPr>
        <w:rPr>
          <w:rFonts w:ascii="Arial" w:hAnsi="Arial" w:cs="Arial"/>
          <w:b/>
          <w:sz w:val="24"/>
          <w:szCs w:val="24"/>
        </w:rPr>
      </w:pPr>
    </w:p>
    <w:p w14:paraId="0D9CF251"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8092E74" w14:textId="77777777" w:rsidTr="00F33004">
        <w:tc>
          <w:tcPr>
            <w:tcW w:w="9576" w:type="dxa"/>
          </w:tcPr>
          <w:p w14:paraId="5908C83E" w14:textId="77777777" w:rsidR="00F707D9" w:rsidRPr="00AB0435" w:rsidRDefault="00F707D9" w:rsidP="00F33004">
            <w:pPr>
              <w:rPr>
                <w:rFonts w:ascii="Arial" w:hAnsi="Arial" w:cs="Arial"/>
                <w:b/>
                <w:sz w:val="20"/>
                <w:szCs w:val="20"/>
              </w:rPr>
            </w:pPr>
          </w:p>
          <w:p w14:paraId="40F6E2EB"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5A6C1687" w14:textId="77777777" w:rsidR="00F707D9" w:rsidRPr="00F86E41" w:rsidRDefault="00F707D9" w:rsidP="00F33004">
            <w:pPr>
              <w:rPr>
                <w:rFonts w:ascii="Arial" w:hAnsi="Arial" w:cs="Arial"/>
                <w:b/>
                <w:sz w:val="20"/>
                <w:szCs w:val="20"/>
                <w:lang w:val="en-US"/>
              </w:rPr>
            </w:pPr>
          </w:p>
          <w:p w14:paraId="7FA92BFB" w14:textId="77777777" w:rsidR="00F707D9" w:rsidRPr="00F86E41" w:rsidRDefault="00F707D9" w:rsidP="00F33004">
            <w:pPr>
              <w:rPr>
                <w:rFonts w:ascii="Arial" w:hAnsi="Arial" w:cs="Arial"/>
                <w:b/>
                <w:sz w:val="20"/>
                <w:szCs w:val="20"/>
                <w:lang w:val="en-US"/>
              </w:rPr>
            </w:pPr>
          </w:p>
        </w:tc>
      </w:tr>
    </w:tbl>
    <w:p w14:paraId="3347CBC4" w14:textId="77777777" w:rsidR="00B16670" w:rsidRPr="00DD5D3D" w:rsidRDefault="00B16670" w:rsidP="00880696">
      <w:pPr>
        <w:pStyle w:val="PrformatHTML"/>
        <w:rPr>
          <w:rFonts w:ascii="Arial" w:hAnsi="Arial" w:cs="Arial"/>
          <w:b/>
          <w:color w:val="FF0000"/>
          <w:sz w:val="24"/>
          <w:szCs w:val="24"/>
          <w:lang w:val="en-US"/>
        </w:rPr>
      </w:pPr>
    </w:p>
    <w:p w14:paraId="6460FDCF"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77F5E5B5"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1B6090">
        <w:rPr>
          <w:rFonts w:ascii="Arial" w:hAnsi="Arial" w:cs="Arial"/>
          <w:lang w:val="en-US"/>
        </w:rPr>
        <w:t>No</w:t>
      </w:r>
      <w:r w:rsidRPr="001B6090">
        <w:rPr>
          <w:rFonts w:ascii="Arial" w:hAnsi="Arial" w:cs="Arial"/>
          <w:lang w:val="en-US"/>
        </w:rPr>
        <w:t xml:space="preserve"> </w:t>
      </w:r>
    </w:p>
    <w:p w14:paraId="2F7A4618"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xml:space="preserve">: </w:t>
      </w:r>
      <w:r w:rsidRPr="001B6090">
        <w:rPr>
          <w:rFonts w:ascii="Arial" w:hAnsi="Arial" w:cs="Arial"/>
          <w:lang w:val="en-US"/>
        </w:rPr>
        <w:t>Yes</w:t>
      </w:r>
    </w:p>
    <w:p w14:paraId="00DFCB95" w14:textId="77777777" w:rsidR="00B16670" w:rsidRPr="00B16670" w:rsidRDefault="00B16670" w:rsidP="00880696">
      <w:pPr>
        <w:pStyle w:val="PrformatHTML"/>
        <w:rPr>
          <w:rFonts w:ascii="Arial" w:hAnsi="Arial" w:cs="Arial"/>
          <w:b/>
          <w:lang w:val="en-US"/>
        </w:rPr>
      </w:pPr>
    </w:p>
    <w:p w14:paraId="2491C3D6" w14:textId="77777777" w:rsidR="00B16670" w:rsidRPr="00DD5D3D" w:rsidRDefault="00B16670" w:rsidP="00880696">
      <w:pPr>
        <w:pStyle w:val="PrformatHTML"/>
        <w:rPr>
          <w:rFonts w:ascii="Arial" w:hAnsi="Arial" w:cs="Arial"/>
          <w:b/>
          <w:color w:val="FF0000"/>
          <w:sz w:val="24"/>
          <w:szCs w:val="24"/>
          <w:lang w:val="en-US"/>
        </w:rPr>
      </w:pPr>
    </w:p>
    <w:p w14:paraId="07129EC5"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5192DEA" w14:textId="77777777" w:rsidTr="00F33004">
        <w:tc>
          <w:tcPr>
            <w:tcW w:w="9576" w:type="dxa"/>
          </w:tcPr>
          <w:p w14:paraId="7061A91E" w14:textId="77777777" w:rsidR="00880696" w:rsidRPr="00914087" w:rsidRDefault="00880696" w:rsidP="00F33004">
            <w:pPr>
              <w:rPr>
                <w:rFonts w:ascii="Arial" w:hAnsi="Arial" w:cs="Arial"/>
                <w:b/>
                <w:sz w:val="20"/>
                <w:szCs w:val="20"/>
              </w:rPr>
            </w:pPr>
          </w:p>
          <w:p w14:paraId="6DA1D945" w14:textId="0881B953"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620361F7" w14:textId="77777777" w:rsidR="00880696" w:rsidRDefault="00880696" w:rsidP="00880696">
      <w:pPr>
        <w:pStyle w:val="PrformatHTML"/>
        <w:rPr>
          <w:rFonts w:ascii="Arial" w:hAnsi="Arial" w:cs="Arial"/>
          <w:b/>
          <w:sz w:val="24"/>
          <w:szCs w:val="24"/>
        </w:rPr>
      </w:pPr>
    </w:p>
    <w:p w14:paraId="36D23997"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DDFC705" w14:textId="77777777" w:rsidTr="00F33004">
        <w:trPr>
          <w:trHeight w:val="788"/>
        </w:trPr>
        <w:tc>
          <w:tcPr>
            <w:tcW w:w="9576" w:type="dxa"/>
          </w:tcPr>
          <w:p w14:paraId="39F82F2C" w14:textId="77777777" w:rsidR="004A1CAC" w:rsidRDefault="004A1CAC" w:rsidP="00C1658E">
            <w:pPr>
              <w:jc w:val="both"/>
              <w:rPr>
                <w:rFonts w:ascii="Arial" w:hAnsi="Arial" w:cs="Arial"/>
                <w:sz w:val="20"/>
                <w:szCs w:val="20"/>
              </w:rPr>
            </w:pPr>
            <w:r w:rsidRPr="001B6090">
              <w:rPr>
                <w:rFonts w:ascii="Arial" w:hAnsi="Arial" w:cs="Arial"/>
                <w:sz w:val="20"/>
                <w:szCs w:val="20"/>
              </w:rPr>
              <w:t>The team from the Pavol Jozef Šafárik University in Košice, Faculty of Public Administration has several experiences in cooperation with official authorities, municipalities and other universities and research facilities at national and international level. The team interested in this call can provide expertise in the field of public administration,</w:t>
            </w:r>
            <w:r w:rsidR="00525FCA">
              <w:rPr>
                <w:rFonts w:ascii="Arial" w:hAnsi="Arial" w:cs="Arial"/>
                <w:sz w:val="20"/>
                <w:szCs w:val="20"/>
              </w:rPr>
              <w:t xml:space="preserve"> public policy,</w:t>
            </w:r>
            <w:r w:rsidRPr="001B6090">
              <w:rPr>
                <w:rFonts w:ascii="Arial" w:hAnsi="Arial" w:cs="Arial"/>
                <w:sz w:val="20"/>
                <w:szCs w:val="20"/>
              </w:rPr>
              <w:t xml:space="preserve"> self-government, cooperation of bigger cities and smaller surrounding municipalities, city regions, </w:t>
            </w:r>
            <w:r w:rsidR="00525FCA" w:rsidRPr="001B6090">
              <w:rPr>
                <w:rFonts w:ascii="Arial" w:hAnsi="Arial" w:cs="Arial"/>
                <w:sz w:val="20"/>
                <w:szCs w:val="20"/>
              </w:rPr>
              <w:t>ethics in public administration, engagement of citizens, identification of stakeholders in concrete environment</w:t>
            </w:r>
            <w:r w:rsidR="00525FCA">
              <w:rPr>
                <w:rFonts w:ascii="Arial" w:hAnsi="Arial" w:cs="Arial"/>
                <w:sz w:val="20"/>
                <w:szCs w:val="20"/>
              </w:rPr>
              <w:t xml:space="preserve">, </w:t>
            </w:r>
            <w:r w:rsidRPr="001B6090">
              <w:rPr>
                <w:rFonts w:ascii="Arial" w:hAnsi="Arial" w:cs="Arial"/>
                <w:sz w:val="20"/>
                <w:szCs w:val="20"/>
              </w:rPr>
              <w:t>eGovernment, provision of eServices at the municipality level, smart cities, strategic planning and output oriented management in municipalities</w:t>
            </w:r>
            <w:r w:rsidR="00525FCA">
              <w:rPr>
                <w:rFonts w:ascii="Arial" w:hAnsi="Arial" w:cs="Arial"/>
                <w:sz w:val="20"/>
                <w:szCs w:val="20"/>
              </w:rPr>
              <w:t xml:space="preserve">, development of educational programmes. </w:t>
            </w:r>
            <w:r w:rsidRPr="001B6090">
              <w:rPr>
                <w:rFonts w:ascii="Arial" w:hAnsi="Arial" w:cs="Arial"/>
                <w:sz w:val="20"/>
                <w:szCs w:val="20"/>
              </w:rPr>
              <w:t xml:space="preserve"> </w:t>
            </w:r>
          </w:p>
          <w:p w14:paraId="0136723F" w14:textId="77777777" w:rsidR="00525FCA" w:rsidRPr="001B6090" w:rsidRDefault="00525FCA" w:rsidP="00C1658E">
            <w:pPr>
              <w:jc w:val="both"/>
              <w:rPr>
                <w:rFonts w:ascii="Arial" w:hAnsi="Arial" w:cs="Arial"/>
                <w:sz w:val="20"/>
                <w:szCs w:val="20"/>
              </w:rPr>
            </w:pPr>
          </w:p>
          <w:p w14:paraId="20C98466" w14:textId="77777777" w:rsidR="00D022C8" w:rsidRDefault="004A1CAC" w:rsidP="00C1658E">
            <w:pPr>
              <w:jc w:val="both"/>
              <w:rPr>
                <w:rFonts w:ascii="Arial" w:hAnsi="Arial" w:cs="Arial"/>
                <w:sz w:val="20"/>
                <w:szCs w:val="20"/>
              </w:rPr>
            </w:pPr>
            <w:r w:rsidRPr="001B6090">
              <w:rPr>
                <w:rFonts w:ascii="Arial" w:hAnsi="Arial" w:cs="Arial"/>
                <w:sz w:val="20"/>
                <w:szCs w:val="20"/>
              </w:rPr>
              <w:t>The team targets mainly contributing to the</w:t>
            </w:r>
            <w:r w:rsidR="00C1658E">
              <w:rPr>
                <w:rFonts w:ascii="Arial" w:hAnsi="Arial" w:cs="Arial"/>
                <w:sz w:val="20"/>
                <w:szCs w:val="20"/>
              </w:rPr>
              <w:t xml:space="preserve"> </w:t>
            </w:r>
            <w:r w:rsidRPr="001B6090">
              <w:rPr>
                <w:rFonts w:ascii="Arial" w:hAnsi="Arial" w:cs="Arial"/>
                <w:sz w:val="20"/>
                <w:szCs w:val="20"/>
              </w:rPr>
              <w:t>impacts</w:t>
            </w:r>
            <w:r w:rsidR="00120190">
              <w:rPr>
                <w:rFonts w:ascii="Arial" w:hAnsi="Arial" w:cs="Arial"/>
                <w:sz w:val="20"/>
                <w:szCs w:val="20"/>
              </w:rPr>
              <w:t>:</w:t>
            </w:r>
          </w:p>
          <w:p w14:paraId="6DE908A8" w14:textId="77777777" w:rsidR="006C7306" w:rsidRDefault="004A1CAC" w:rsidP="00C1658E">
            <w:pPr>
              <w:jc w:val="both"/>
              <w:rPr>
                <w:rFonts w:ascii="Arial" w:hAnsi="Arial" w:cs="Arial"/>
                <w:sz w:val="20"/>
                <w:szCs w:val="20"/>
              </w:rPr>
            </w:pPr>
            <w:r w:rsidRPr="001B6090">
              <w:rPr>
                <w:rFonts w:ascii="Arial" w:hAnsi="Arial" w:cs="Arial"/>
                <w:sz w:val="20"/>
                <w:szCs w:val="20"/>
              </w:rPr>
              <w:t>1.2</w:t>
            </w:r>
            <w:r w:rsidR="00D022C8">
              <w:rPr>
                <w:rFonts w:ascii="Arial" w:hAnsi="Arial" w:cs="Arial"/>
                <w:sz w:val="20"/>
                <w:szCs w:val="20"/>
              </w:rPr>
              <w:t>:</w:t>
            </w:r>
            <w:r w:rsidR="006C7306">
              <w:rPr>
                <w:rFonts w:ascii="Arial" w:hAnsi="Arial" w:cs="Arial"/>
                <w:sz w:val="20"/>
                <w:szCs w:val="20"/>
              </w:rPr>
              <w:t xml:space="preserve"> </w:t>
            </w:r>
            <w:r w:rsidR="006C7306" w:rsidRPr="006C7306">
              <w:rPr>
                <w:rFonts w:ascii="Arial" w:hAnsi="Arial" w:cs="Arial"/>
                <w:sz w:val="20"/>
                <w:szCs w:val="20"/>
              </w:rPr>
              <w:t>cross-sectoral governance, citizens participations, social innovation and social entrepreneurship impact, policy approaches, urban digital platform</w:t>
            </w:r>
            <w:r w:rsidR="00120190">
              <w:rPr>
                <w:rFonts w:ascii="Arial" w:hAnsi="Arial" w:cs="Arial"/>
                <w:sz w:val="20"/>
                <w:szCs w:val="20"/>
              </w:rPr>
              <w:t>.</w:t>
            </w:r>
            <w:r w:rsidR="006C7306" w:rsidRPr="006C7306">
              <w:rPr>
                <w:rFonts w:ascii="Arial" w:hAnsi="Arial" w:cs="Arial"/>
                <w:sz w:val="20"/>
                <w:szCs w:val="20"/>
              </w:rPr>
              <w:t xml:space="preserve"> </w:t>
            </w:r>
          </w:p>
          <w:p w14:paraId="1FFE04F0" w14:textId="77777777" w:rsidR="00D022C8" w:rsidRDefault="00C1658E" w:rsidP="00C1658E">
            <w:pPr>
              <w:jc w:val="both"/>
              <w:rPr>
                <w:rFonts w:ascii="Arial" w:hAnsi="Arial" w:cs="Arial"/>
                <w:sz w:val="20"/>
                <w:szCs w:val="20"/>
              </w:rPr>
            </w:pPr>
            <w:r w:rsidRPr="001B6090">
              <w:rPr>
                <w:rFonts w:ascii="Arial" w:hAnsi="Arial" w:cs="Arial"/>
                <w:sz w:val="20"/>
                <w:szCs w:val="20"/>
              </w:rPr>
              <w:t>9.1</w:t>
            </w:r>
            <w:r w:rsidR="00D022C8">
              <w:rPr>
                <w:rFonts w:ascii="Arial" w:hAnsi="Arial" w:cs="Arial"/>
                <w:sz w:val="20"/>
                <w:szCs w:val="20"/>
              </w:rPr>
              <w:t>:</w:t>
            </w:r>
            <w:r w:rsidR="00120190">
              <w:rPr>
                <w:rFonts w:ascii="Arial" w:hAnsi="Arial" w:cs="Arial"/>
                <w:sz w:val="20"/>
                <w:szCs w:val="20"/>
              </w:rPr>
              <w:t xml:space="preserve"> synergies among research infrastructure including social sciences, development of new generation of researchers in the social sciences field addressing EGD challenges. </w:t>
            </w:r>
          </w:p>
          <w:p w14:paraId="6F103CA2" w14:textId="77777777" w:rsidR="00D022C8" w:rsidRDefault="00C1658E" w:rsidP="00C1658E">
            <w:pPr>
              <w:jc w:val="both"/>
              <w:rPr>
                <w:rFonts w:ascii="Arial" w:hAnsi="Arial" w:cs="Arial"/>
                <w:sz w:val="20"/>
                <w:szCs w:val="20"/>
              </w:rPr>
            </w:pPr>
            <w:r w:rsidRPr="001B6090">
              <w:rPr>
                <w:rFonts w:ascii="Arial" w:hAnsi="Arial" w:cs="Arial"/>
                <w:sz w:val="20"/>
                <w:szCs w:val="20"/>
              </w:rPr>
              <w:t>9.2</w:t>
            </w:r>
            <w:r w:rsidR="00D022C8">
              <w:rPr>
                <w:rFonts w:ascii="Arial" w:hAnsi="Arial" w:cs="Arial"/>
                <w:sz w:val="20"/>
                <w:szCs w:val="20"/>
              </w:rPr>
              <w:t>:</w:t>
            </w:r>
            <w:r w:rsidR="00120190">
              <w:rPr>
                <w:rFonts w:ascii="Arial" w:hAnsi="Arial" w:cs="Arial"/>
                <w:sz w:val="20"/>
                <w:szCs w:val="20"/>
              </w:rPr>
              <w:t xml:space="preserve"> decision making and policy making of citizens, stakeholders decision-makers focusing on EGD challenges. Active role of different stakeholders in policy making and evidence based policy making, based on knowledge and information. </w:t>
            </w:r>
          </w:p>
          <w:p w14:paraId="5CF2FDB3" w14:textId="77777777" w:rsidR="00D022C8" w:rsidRDefault="00392820" w:rsidP="00C1658E">
            <w:pPr>
              <w:jc w:val="both"/>
              <w:rPr>
                <w:rFonts w:ascii="Arial" w:hAnsi="Arial" w:cs="Arial"/>
                <w:sz w:val="20"/>
                <w:szCs w:val="20"/>
              </w:rPr>
            </w:pPr>
            <w:hyperlink r:id="rId8" w:history="1"/>
            <w:r w:rsidR="00C1658E" w:rsidRPr="001B6090">
              <w:rPr>
                <w:rFonts w:ascii="Arial" w:hAnsi="Arial" w:cs="Arial"/>
                <w:sz w:val="20"/>
                <w:szCs w:val="20"/>
              </w:rPr>
              <w:t>10.1</w:t>
            </w:r>
            <w:r w:rsidR="00D022C8">
              <w:rPr>
                <w:rFonts w:ascii="Arial" w:hAnsi="Arial" w:cs="Arial"/>
                <w:sz w:val="20"/>
                <w:szCs w:val="20"/>
              </w:rPr>
              <w:t>:</w:t>
            </w:r>
            <w:r w:rsidR="00120190">
              <w:rPr>
                <w:rFonts w:ascii="Arial" w:hAnsi="Arial" w:cs="Arial"/>
                <w:sz w:val="20"/>
                <w:szCs w:val="20"/>
              </w:rPr>
              <w:t xml:space="preserve"> involvement of citizens in the implementation of the EGD. Stronger trust in policy makers, policy making, policies on EGD issues. </w:t>
            </w:r>
          </w:p>
          <w:p w14:paraId="70FB96C3" w14:textId="77777777" w:rsidR="00D022C8" w:rsidRDefault="00C1658E" w:rsidP="00C1658E">
            <w:pPr>
              <w:jc w:val="both"/>
              <w:rPr>
                <w:rFonts w:ascii="Arial" w:hAnsi="Arial" w:cs="Arial"/>
                <w:sz w:val="20"/>
                <w:szCs w:val="20"/>
              </w:rPr>
            </w:pPr>
            <w:r w:rsidRPr="001B6090">
              <w:rPr>
                <w:rFonts w:ascii="Arial" w:hAnsi="Arial" w:cs="Arial"/>
                <w:sz w:val="20"/>
                <w:szCs w:val="20"/>
              </w:rPr>
              <w:t>10.2</w:t>
            </w:r>
            <w:r w:rsidR="00D022C8">
              <w:rPr>
                <w:rFonts w:ascii="Arial" w:hAnsi="Arial" w:cs="Arial"/>
                <w:sz w:val="20"/>
                <w:szCs w:val="20"/>
              </w:rPr>
              <w:t>:</w:t>
            </w:r>
            <w:r w:rsidR="004E6C12">
              <w:rPr>
                <w:rFonts w:ascii="Arial" w:hAnsi="Arial" w:cs="Arial"/>
                <w:sz w:val="20"/>
                <w:szCs w:val="20"/>
              </w:rPr>
              <w:t xml:space="preserve"> </w:t>
            </w:r>
            <w:r w:rsidR="006F21E7">
              <w:rPr>
                <w:rFonts w:ascii="Arial" w:hAnsi="Arial" w:cs="Arial"/>
                <w:sz w:val="20"/>
                <w:szCs w:val="20"/>
              </w:rPr>
              <w:t xml:space="preserve">changes and systematic changes of public administration, especially policy makers, in line with ethical standards in order to succeed with EGD. </w:t>
            </w:r>
          </w:p>
          <w:p w14:paraId="7ED3B5C4" w14:textId="365D1E05" w:rsidR="00C1658E" w:rsidRPr="00C84A42" w:rsidRDefault="00C1658E" w:rsidP="00C1658E">
            <w:pPr>
              <w:jc w:val="both"/>
              <w:rPr>
                <w:rFonts w:ascii="Arial" w:hAnsi="Arial" w:cs="Arial"/>
                <w:sz w:val="20"/>
                <w:szCs w:val="20"/>
              </w:rPr>
            </w:pPr>
            <w:r w:rsidRPr="001B6090">
              <w:rPr>
                <w:rFonts w:ascii="Arial" w:hAnsi="Arial" w:cs="Arial"/>
                <w:sz w:val="20"/>
                <w:szCs w:val="20"/>
              </w:rPr>
              <w:t>10.3</w:t>
            </w:r>
            <w:r w:rsidR="00D022C8">
              <w:rPr>
                <w:rFonts w:ascii="Arial" w:hAnsi="Arial" w:cs="Arial"/>
                <w:sz w:val="20"/>
                <w:szCs w:val="20"/>
              </w:rPr>
              <w:t>:</w:t>
            </w:r>
            <w:r>
              <w:rPr>
                <w:rFonts w:ascii="Arial" w:hAnsi="Arial" w:cs="Arial"/>
                <w:sz w:val="20"/>
                <w:szCs w:val="20"/>
              </w:rPr>
              <w:t xml:space="preserve"> </w:t>
            </w:r>
            <w:r w:rsidR="006F21E7">
              <w:rPr>
                <w:rFonts w:ascii="Arial" w:hAnsi="Arial" w:cs="Arial"/>
                <w:sz w:val="20"/>
                <w:szCs w:val="20"/>
              </w:rPr>
              <w:t xml:space="preserve">development of educational programmes, courses, curricula, trainings. Focus on all levels of higher education, including children university, lifelong learning, etc. Exchange of best </w:t>
            </w:r>
            <w:r w:rsidR="006F21E7" w:rsidRPr="00C84A42">
              <w:rPr>
                <w:rFonts w:ascii="Arial" w:hAnsi="Arial" w:cs="Arial"/>
                <w:sz w:val="20"/>
                <w:szCs w:val="20"/>
              </w:rPr>
              <w:t>practices.</w:t>
            </w:r>
            <w:r w:rsidR="00C84A42" w:rsidRPr="00C84A42">
              <w:rPr>
                <w:rFonts w:ascii="Arial" w:hAnsi="Arial" w:cs="Arial"/>
                <w:sz w:val="20"/>
                <w:szCs w:val="20"/>
              </w:rPr>
              <w:t xml:space="preserve"> </w:t>
            </w:r>
            <w:r w:rsidR="00A354FE" w:rsidRPr="00C84A42">
              <w:rPr>
                <w:rFonts w:ascii="Arial" w:hAnsi="Arial" w:cs="Arial"/>
                <w:sz w:val="20"/>
                <w:szCs w:val="20"/>
              </w:rPr>
              <w:t xml:space="preserve">Cooperation with Cities and Stakeholders </w:t>
            </w:r>
            <w:r w:rsidR="00773C94" w:rsidRPr="00C84A42">
              <w:rPr>
                <w:rFonts w:ascii="Arial" w:hAnsi="Arial" w:cs="Arial"/>
                <w:sz w:val="20"/>
                <w:szCs w:val="20"/>
              </w:rPr>
              <w:t xml:space="preserve">in the </w:t>
            </w:r>
            <w:r w:rsidR="00C84A42" w:rsidRPr="00C84A42">
              <w:rPr>
                <w:rFonts w:ascii="Arial" w:hAnsi="Arial" w:cs="Arial"/>
                <w:sz w:val="20"/>
                <w:szCs w:val="20"/>
              </w:rPr>
              <w:t xml:space="preserve">Slovak Republic </w:t>
            </w:r>
            <w:r w:rsidR="00773C94" w:rsidRPr="00C84A42">
              <w:rPr>
                <w:rFonts w:ascii="Arial" w:hAnsi="Arial" w:cs="Arial"/>
                <w:sz w:val="20"/>
                <w:szCs w:val="20"/>
              </w:rPr>
              <w:t xml:space="preserve">and </w:t>
            </w:r>
            <w:r w:rsidR="00A354FE" w:rsidRPr="00C84A42">
              <w:rPr>
                <w:rFonts w:ascii="Arial" w:hAnsi="Arial" w:cs="Arial"/>
                <w:sz w:val="20"/>
                <w:szCs w:val="20"/>
              </w:rPr>
              <w:t>related to the Consortium</w:t>
            </w:r>
            <w:r w:rsidR="00C84A42">
              <w:rPr>
                <w:rFonts w:ascii="Arial" w:hAnsi="Arial" w:cs="Arial"/>
                <w:sz w:val="20"/>
                <w:szCs w:val="20"/>
              </w:rPr>
              <w:t xml:space="preserve">. </w:t>
            </w:r>
          </w:p>
          <w:p w14:paraId="1AF11505" w14:textId="77777777" w:rsidR="00F707D9" w:rsidRPr="00C84A42" w:rsidRDefault="004A1CAC" w:rsidP="00C1658E">
            <w:pPr>
              <w:jc w:val="both"/>
              <w:rPr>
                <w:rFonts w:ascii="Arial" w:hAnsi="Arial" w:cs="Arial"/>
                <w:sz w:val="20"/>
                <w:szCs w:val="20"/>
              </w:rPr>
            </w:pPr>
            <w:r w:rsidRPr="00C84A42">
              <w:rPr>
                <w:rFonts w:ascii="Arial" w:hAnsi="Arial" w:cs="Arial"/>
                <w:sz w:val="20"/>
                <w:szCs w:val="20"/>
              </w:rPr>
              <w:lastRenderedPageBreak/>
              <w:t xml:space="preserve"> </w:t>
            </w:r>
          </w:p>
          <w:p w14:paraId="2DC01B30" w14:textId="0B80E831" w:rsidR="00880696" w:rsidRPr="005D5E2C" w:rsidRDefault="00880696" w:rsidP="00C1658E">
            <w:pPr>
              <w:pStyle w:val="Default"/>
              <w:jc w:val="both"/>
              <w:rPr>
                <w:rFonts w:eastAsia="Calibri"/>
                <w:b/>
                <w:sz w:val="20"/>
                <w:szCs w:val="20"/>
                <w:lang w:val="en-US"/>
              </w:rPr>
            </w:pPr>
            <w:r w:rsidRPr="00C84A42">
              <w:rPr>
                <w:rFonts w:eastAsia="Calibri"/>
                <w:sz w:val="20"/>
                <w:szCs w:val="20"/>
                <w:lang w:val="en-US"/>
              </w:rPr>
              <w:t xml:space="preserve">+key words: </w:t>
            </w:r>
            <w:r w:rsidR="00C84A42" w:rsidRPr="00C84A42">
              <w:rPr>
                <w:rFonts w:eastAsia="Calibri"/>
                <w:sz w:val="20"/>
                <w:szCs w:val="20"/>
                <w:lang w:val="en-US"/>
              </w:rPr>
              <w:t>G</w:t>
            </w:r>
            <w:r w:rsidR="00773C94" w:rsidRPr="00C84A42">
              <w:rPr>
                <w:rFonts w:eastAsia="Calibri"/>
                <w:sz w:val="20"/>
                <w:szCs w:val="20"/>
                <w:lang w:val="en-US"/>
              </w:rPr>
              <w:t xml:space="preserve">reen </w:t>
            </w:r>
            <w:r w:rsidR="00C84A42" w:rsidRPr="00C84A42">
              <w:rPr>
                <w:rFonts w:eastAsia="Calibri"/>
                <w:sz w:val="20"/>
                <w:szCs w:val="20"/>
                <w:lang w:val="en-US"/>
              </w:rPr>
              <w:t>D</w:t>
            </w:r>
            <w:r w:rsidR="00773C94" w:rsidRPr="00C84A42">
              <w:rPr>
                <w:rFonts w:eastAsia="Calibri"/>
                <w:sz w:val="20"/>
                <w:szCs w:val="20"/>
                <w:lang w:val="en-US"/>
              </w:rPr>
              <w:t xml:space="preserve">eal, </w:t>
            </w:r>
            <w:r w:rsidR="00C84A42" w:rsidRPr="00C84A42">
              <w:rPr>
                <w:rFonts w:eastAsia="Calibri"/>
                <w:sz w:val="20"/>
                <w:szCs w:val="20"/>
                <w:lang w:val="en-US"/>
              </w:rPr>
              <w:t>G</w:t>
            </w:r>
            <w:r w:rsidR="00773C94" w:rsidRPr="00C84A42">
              <w:rPr>
                <w:rFonts w:eastAsia="Calibri"/>
                <w:sz w:val="20"/>
                <w:szCs w:val="20"/>
                <w:lang w:val="en-US"/>
              </w:rPr>
              <w:t xml:space="preserve">overnance, </w:t>
            </w:r>
            <w:r w:rsidR="00C84A42" w:rsidRPr="00C84A42">
              <w:rPr>
                <w:rFonts w:eastAsia="Calibri"/>
                <w:sz w:val="20"/>
                <w:szCs w:val="20"/>
                <w:lang w:val="en-US"/>
              </w:rPr>
              <w:t>C</w:t>
            </w:r>
            <w:r w:rsidR="00C1658E" w:rsidRPr="00C84A42">
              <w:rPr>
                <w:rFonts w:eastAsia="Calibri"/>
                <w:sz w:val="20"/>
                <w:szCs w:val="20"/>
                <w:lang w:val="en-US"/>
              </w:rPr>
              <w:t>itizens,</w:t>
            </w:r>
            <w:r w:rsidR="00C84A42" w:rsidRPr="00C84A42">
              <w:rPr>
                <w:rFonts w:eastAsia="Calibri"/>
                <w:sz w:val="20"/>
                <w:szCs w:val="20"/>
                <w:lang w:val="en-US"/>
              </w:rPr>
              <w:t xml:space="preserve"> C</w:t>
            </w:r>
            <w:r w:rsidR="00C1658E" w:rsidRPr="00C84A42">
              <w:rPr>
                <w:rFonts w:eastAsia="Calibri"/>
                <w:sz w:val="20"/>
                <w:szCs w:val="20"/>
                <w:lang w:val="en-US"/>
              </w:rPr>
              <w:t xml:space="preserve">ities, </w:t>
            </w:r>
            <w:r w:rsidR="00C84A42" w:rsidRPr="00C84A42">
              <w:rPr>
                <w:rFonts w:eastAsia="Calibri"/>
                <w:sz w:val="20"/>
                <w:szCs w:val="20"/>
                <w:lang w:val="en-US"/>
              </w:rPr>
              <w:t>P</w:t>
            </w:r>
            <w:r w:rsidR="0076720D" w:rsidRPr="00C84A42">
              <w:rPr>
                <w:rFonts w:eastAsia="Calibri"/>
                <w:sz w:val="20"/>
                <w:szCs w:val="20"/>
                <w:lang w:val="en-US"/>
              </w:rPr>
              <w:t xml:space="preserve">ublic </w:t>
            </w:r>
            <w:r w:rsidR="00C84A42" w:rsidRPr="00C84A42">
              <w:rPr>
                <w:rFonts w:eastAsia="Calibri"/>
                <w:sz w:val="20"/>
                <w:szCs w:val="20"/>
                <w:lang w:val="en-US"/>
              </w:rPr>
              <w:t>E</w:t>
            </w:r>
            <w:r w:rsidR="0076720D" w:rsidRPr="00C84A42">
              <w:rPr>
                <w:rFonts w:eastAsia="Calibri"/>
                <w:sz w:val="20"/>
                <w:szCs w:val="20"/>
                <w:lang w:val="en-US"/>
              </w:rPr>
              <w:t xml:space="preserve">ngagement, </w:t>
            </w:r>
            <w:r w:rsidR="00C84A42" w:rsidRPr="00C84A42">
              <w:rPr>
                <w:rFonts w:eastAsia="Calibri"/>
                <w:sz w:val="20"/>
                <w:szCs w:val="20"/>
                <w:lang w:val="en-US"/>
              </w:rPr>
              <w:t>P</w:t>
            </w:r>
            <w:r w:rsidR="0076720D" w:rsidRPr="00C84A42">
              <w:rPr>
                <w:rFonts w:eastAsia="Calibri"/>
                <w:sz w:val="20"/>
                <w:szCs w:val="20"/>
                <w:lang w:val="en-US"/>
              </w:rPr>
              <w:t xml:space="preserve">ublic </w:t>
            </w:r>
            <w:r w:rsidR="00C84A42" w:rsidRPr="00C84A42">
              <w:rPr>
                <w:rFonts w:eastAsia="Calibri"/>
                <w:sz w:val="20"/>
                <w:szCs w:val="20"/>
                <w:lang w:val="en-US"/>
              </w:rPr>
              <w:t>P</w:t>
            </w:r>
            <w:r w:rsidR="0076720D" w:rsidRPr="00C84A42">
              <w:rPr>
                <w:rFonts w:eastAsia="Calibri"/>
                <w:sz w:val="20"/>
                <w:szCs w:val="20"/>
                <w:lang w:val="en-US"/>
              </w:rPr>
              <w:t xml:space="preserve">olicy </w:t>
            </w:r>
            <w:r w:rsidR="00C84A42" w:rsidRPr="00C84A42">
              <w:rPr>
                <w:rFonts w:eastAsia="Calibri"/>
                <w:sz w:val="20"/>
                <w:szCs w:val="20"/>
                <w:lang w:val="en-US"/>
              </w:rPr>
              <w:t>M</w:t>
            </w:r>
            <w:r w:rsidR="0076720D" w:rsidRPr="00C84A42">
              <w:rPr>
                <w:rFonts w:eastAsia="Calibri"/>
                <w:sz w:val="20"/>
                <w:szCs w:val="20"/>
                <w:lang w:val="en-US"/>
              </w:rPr>
              <w:t xml:space="preserve">aking, </w:t>
            </w:r>
            <w:r w:rsidR="00C84A42" w:rsidRPr="00C84A42">
              <w:rPr>
                <w:rFonts w:eastAsia="Calibri"/>
                <w:sz w:val="20"/>
                <w:szCs w:val="20"/>
                <w:lang w:val="en-US"/>
              </w:rPr>
              <w:t>P</w:t>
            </w:r>
            <w:r w:rsidR="004E6C12" w:rsidRPr="00C84A42">
              <w:rPr>
                <w:rFonts w:eastAsia="Calibri"/>
                <w:sz w:val="20"/>
                <w:szCs w:val="20"/>
                <w:lang w:val="en-US"/>
              </w:rPr>
              <w:t xml:space="preserve">articipatory </w:t>
            </w:r>
            <w:r w:rsidR="00C84A42" w:rsidRPr="00C84A42">
              <w:rPr>
                <w:rFonts w:eastAsia="Calibri"/>
                <w:sz w:val="20"/>
                <w:szCs w:val="20"/>
                <w:lang w:val="en-US"/>
              </w:rPr>
              <w:t>P</w:t>
            </w:r>
            <w:r w:rsidR="004E6C12" w:rsidRPr="00C84A42">
              <w:rPr>
                <w:rFonts w:eastAsia="Calibri"/>
                <w:sz w:val="20"/>
                <w:szCs w:val="20"/>
                <w:lang w:val="en-US"/>
              </w:rPr>
              <w:t xml:space="preserve">olicy </w:t>
            </w:r>
            <w:r w:rsidR="00C84A42" w:rsidRPr="00C84A42">
              <w:rPr>
                <w:rFonts w:eastAsia="Calibri"/>
                <w:sz w:val="20"/>
                <w:szCs w:val="20"/>
                <w:lang w:val="en-US"/>
              </w:rPr>
              <w:t>M</w:t>
            </w:r>
            <w:r w:rsidR="004E6C12" w:rsidRPr="00C84A42">
              <w:rPr>
                <w:rFonts w:eastAsia="Calibri"/>
                <w:sz w:val="20"/>
                <w:szCs w:val="20"/>
                <w:lang w:val="en-US"/>
              </w:rPr>
              <w:t xml:space="preserve">aking, </w:t>
            </w:r>
            <w:r w:rsidR="00C84A42" w:rsidRPr="00C84A42">
              <w:rPr>
                <w:rFonts w:eastAsia="Calibri"/>
                <w:sz w:val="20"/>
                <w:szCs w:val="20"/>
                <w:lang w:val="en-US"/>
              </w:rPr>
              <w:t>S</w:t>
            </w:r>
            <w:r w:rsidR="00021CCE" w:rsidRPr="00C84A42">
              <w:rPr>
                <w:rFonts w:eastAsia="Calibri"/>
                <w:sz w:val="20"/>
                <w:szCs w:val="20"/>
                <w:lang w:val="en-US"/>
              </w:rPr>
              <w:t>takeholders,</w:t>
            </w:r>
            <w:r w:rsidR="00C1658E" w:rsidRPr="00C84A42">
              <w:rPr>
                <w:rFonts w:eastAsia="Calibri"/>
                <w:sz w:val="20"/>
                <w:szCs w:val="20"/>
                <w:lang w:val="en-US"/>
              </w:rPr>
              <w:t xml:space="preserve"> </w:t>
            </w:r>
            <w:r w:rsidR="00C84A42" w:rsidRPr="00C84A42">
              <w:rPr>
                <w:rFonts w:eastAsia="Calibri"/>
                <w:sz w:val="20"/>
                <w:szCs w:val="20"/>
                <w:lang w:val="en-US"/>
              </w:rPr>
              <w:t>P</w:t>
            </w:r>
            <w:r w:rsidR="00C1658E" w:rsidRPr="00C84A42">
              <w:rPr>
                <w:rFonts w:eastAsia="Calibri"/>
                <w:sz w:val="20"/>
                <w:szCs w:val="20"/>
                <w:lang w:val="en-US"/>
              </w:rPr>
              <w:t xml:space="preserve">ublic </w:t>
            </w:r>
            <w:r w:rsidR="00C84A42" w:rsidRPr="00C84A42">
              <w:rPr>
                <w:rFonts w:eastAsia="Calibri"/>
                <w:sz w:val="20"/>
                <w:szCs w:val="20"/>
                <w:lang w:val="en-US"/>
              </w:rPr>
              <w:t>A</w:t>
            </w:r>
            <w:r w:rsidR="00C1658E" w:rsidRPr="00C84A42">
              <w:rPr>
                <w:rFonts w:eastAsia="Calibri"/>
                <w:sz w:val="20"/>
                <w:szCs w:val="20"/>
                <w:lang w:val="en-US"/>
              </w:rPr>
              <w:t>dministration,</w:t>
            </w:r>
            <w:r w:rsidR="00C84A42" w:rsidRPr="00C84A42">
              <w:rPr>
                <w:rFonts w:eastAsia="Calibri"/>
                <w:sz w:val="20"/>
                <w:szCs w:val="20"/>
                <w:lang w:val="en-US"/>
              </w:rPr>
              <w:t xml:space="preserve"> Ethics</w:t>
            </w:r>
            <w:r w:rsidR="00A354FE" w:rsidRPr="00C84A42">
              <w:rPr>
                <w:rFonts w:eastAsia="Calibri"/>
                <w:sz w:val="20"/>
                <w:szCs w:val="20"/>
                <w:lang w:val="en-US"/>
              </w:rPr>
              <w:t xml:space="preserve"> </w:t>
            </w:r>
          </w:p>
        </w:tc>
      </w:tr>
    </w:tbl>
    <w:p w14:paraId="4CE2E8B3" w14:textId="77777777" w:rsidR="00F707D9" w:rsidRPr="00810FE5" w:rsidRDefault="00F707D9" w:rsidP="00F707D9">
      <w:pPr>
        <w:rPr>
          <w:rFonts w:ascii="Arial" w:hAnsi="Arial" w:cs="Arial"/>
          <w:b/>
          <w:sz w:val="24"/>
          <w:szCs w:val="24"/>
        </w:rPr>
      </w:pPr>
    </w:p>
    <w:p w14:paraId="38060BB8"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E7E01C8" w14:textId="77777777" w:rsidTr="00F33004">
        <w:trPr>
          <w:trHeight w:val="555"/>
        </w:trPr>
        <w:tc>
          <w:tcPr>
            <w:tcW w:w="9576" w:type="dxa"/>
          </w:tcPr>
          <w:p w14:paraId="5AFC72E0"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21CFDDD5" w14:textId="77777777" w:rsidR="00F707D9" w:rsidRPr="00AB0435" w:rsidRDefault="0029181F" w:rsidP="00F33004">
            <w:pPr>
              <w:rPr>
                <w:rFonts w:ascii="Arial" w:hAnsi="Arial" w:cs="Arial"/>
                <w:b/>
                <w:sz w:val="20"/>
                <w:szCs w:val="20"/>
                <w:highlight w:val="yellow"/>
              </w:rPr>
            </w:pPr>
            <w:r w:rsidRPr="007C3FAD">
              <w:rPr>
                <w:lang w:val="en-US"/>
              </w:rPr>
              <w:t>Pavol Jozef Šafárik University in Košice, Slovakia</w:t>
            </w:r>
          </w:p>
        </w:tc>
      </w:tr>
      <w:tr w:rsidR="00F707D9" w:rsidRPr="00AB0435" w14:paraId="3E6B410A" w14:textId="77777777" w:rsidTr="00F33004">
        <w:trPr>
          <w:trHeight w:val="555"/>
        </w:trPr>
        <w:tc>
          <w:tcPr>
            <w:tcW w:w="9576" w:type="dxa"/>
          </w:tcPr>
          <w:p w14:paraId="0317217D"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296C64FF" w14:textId="77777777" w:rsidR="00F707D9" w:rsidRPr="007C3FAD" w:rsidRDefault="00F707D9" w:rsidP="00F33004">
            <w:pPr>
              <w:rPr>
                <w:rFonts w:ascii="Arial" w:hAnsi="Arial" w:cs="Arial"/>
                <w:sz w:val="20"/>
                <w:szCs w:val="20"/>
                <w:highlight w:val="yellow"/>
              </w:rPr>
            </w:pPr>
            <w:r w:rsidRPr="007C3FAD">
              <w:rPr>
                <w:rFonts w:ascii="Arial" w:hAnsi="Arial" w:cs="Arial"/>
                <w:sz w:val="28"/>
                <w:szCs w:val="28"/>
              </w:rPr>
              <w:t>□</w:t>
            </w:r>
            <w:r w:rsidRPr="007C3FAD">
              <w:rPr>
                <w:rFonts w:ascii="Arial" w:hAnsi="Arial" w:cs="Arial"/>
                <w:sz w:val="20"/>
                <w:szCs w:val="20"/>
              </w:rPr>
              <w:t xml:space="preserve"> Enterprise </w:t>
            </w:r>
            <w:r w:rsidRPr="007C3FAD">
              <w:rPr>
                <w:rFonts w:ascii="Arial" w:hAnsi="Arial" w:cs="Arial"/>
                <w:sz w:val="28"/>
                <w:szCs w:val="28"/>
              </w:rPr>
              <w:t>□</w:t>
            </w:r>
            <w:r w:rsidRPr="007C3FAD">
              <w:rPr>
                <w:rFonts w:ascii="Arial" w:hAnsi="Arial" w:cs="Arial"/>
                <w:sz w:val="20"/>
                <w:szCs w:val="20"/>
              </w:rPr>
              <w:t xml:space="preserve"> SME </w:t>
            </w:r>
            <w:r w:rsidRPr="007C3FAD">
              <w:rPr>
                <w:rFonts w:ascii="Arial" w:hAnsi="Arial" w:cs="Arial"/>
                <w:b/>
                <w:sz w:val="28"/>
                <w:szCs w:val="28"/>
                <w:u w:val="single"/>
              </w:rPr>
              <w:t xml:space="preserve">□ </w:t>
            </w:r>
            <w:r w:rsidRPr="007C3FAD">
              <w:rPr>
                <w:rFonts w:ascii="Arial" w:hAnsi="Arial" w:cs="Arial"/>
                <w:b/>
                <w:sz w:val="20"/>
                <w:szCs w:val="20"/>
                <w:u w:val="single"/>
              </w:rPr>
              <w:t>Academic</w:t>
            </w:r>
            <w:r w:rsidRPr="007C3FAD">
              <w:rPr>
                <w:rFonts w:ascii="Arial" w:hAnsi="Arial" w:cs="Arial"/>
                <w:sz w:val="20"/>
                <w:szCs w:val="20"/>
              </w:rPr>
              <w:t xml:space="preserve"> </w:t>
            </w:r>
            <w:r w:rsidRPr="007C3FAD">
              <w:rPr>
                <w:rFonts w:ascii="Arial" w:hAnsi="Arial" w:cs="Arial"/>
                <w:sz w:val="28"/>
                <w:szCs w:val="28"/>
              </w:rPr>
              <w:t>□</w:t>
            </w:r>
            <w:r w:rsidRPr="007C3FAD">
              <w:rPr>
                <w:rFonts w:ascii="Arial" w:hAnsi="Arial" w:cs="Arial"/>
                <w:sz w:val="20"/>
                <w:szCs w:val="20"/>
              </w:rPr>
              <w:t>Research institute</w:t>
            </w:r>
            <w:r w:rsidRPr="007C3FAD">
              <w:rPr>
                <w:rFonts w:ascii="Arial" w:hAnsi="Arial" w:cs="Arial"/>
                <w:sz w:val="28"/>
                <w:szCs w:val="28"/>
              </w:rPr>
              <w:t xml:space="preserve"> □</w:t>
            </w:r>
            <w:r w:rsidRPr="007C3FAD">
              <w:rPr>
                <w:rFonts w:ascii="Arial" w:hAnsi="Arial" w:cs="Arial"/>
                <w:sz w:val="20"/>
                <w:szCs w:val="20"/>
              </w:rPr>
              <w:t xml:space="preserve"> Public Body</w:t>
            </w:r>
            <w:r w:rsidRPr="007C3FAD">
              <w:rPr>
                <w:rFonts w:ascii="Arial" w:hAnsi="Arial" w:cs="Arial"/>
                <w:sz w:val="28"/>
                <w:szCs w:val="28"/>
              </w:rPr>
              <w:t xml:space="preserve"> □</w:t>
            </w:r>
            <w:r w:rsidRPr="007C3FAD">
              <w:rPr>
                <w:rFonts w:ascii="Arial" w:hAnsi="Arial" w:cs="Arial"/>
                <w:sz w:val="20"/>
                <w:szCs w:val="20"/>
              </w:rPr>
              <w:t xml:space="preserve"> Other: Association</w:t>
            </w:r>
          </w:p>
        </w:tc>
      </w:tr>
      <w:tr w:rsidR="00F707D9" w:rsidRPr="00AB0435" w14:paraId="23C44E83" w14:textId="77777777" w:rsidTr="00F33004">
        <w:trPr>
          <w:trHeight w:val="555"/>
        </w:trPr>
        <w:tc>
          <w:tcPr>
            <w:tcW w:w="9576" w:type="dxa"/>
          </w:tcPr>
          <w:p w14:paraId="33AAE22B"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3DB354AD" w14:textId="787255F6" w:rsidR="00F707D9" w:rsidRPr="00C84A42" w:rsidRDefault="00F707D9" w:rsidP="00F33004">
            <w:pPr>
              <w:rPr>
                <w:rFonts w:ascii="Arial" w:hAnsi="Arial" w:cs="Arial"/>
                <w:sz w:val="20"/>
                <w:szCs w:val="20"/>
                <w:highlight w:val="yellow"/>
              </w:rPr>
            </w:pPr>
            <w:r w:rsidRPr="00C84A42">
              <w:rPr>
                <w:rFonts w:ascii="Arial" w:hAnsi="Arial" w:cs="Arial"/>
                <w:b/>
                <w:sz w:val="28"/>
                <w:szCs w:val="28"/>
                <w:u w:val="single"/>
              </w:rPr>
              <w:t>□</w:t>
            </w:r>
            <w:r w:rsidRPr="00C84A42">
              <w:rPr>
                <w:rFonts w:ascii="Arial" w:hAnsi="Arial" w:cs="Arial"/>
                <w:b/>
                <w:sz w:val="20"/>
                <w:szCs w:val="20"/>
                <w:u w:val="single"/>
              </w:rPr>
              <w:t xml:space="preserve"> Yes</w:t>
            </w:r>
            <w:r w:rsidRPr="00C84A42">
              <w:rPr>
                <w:rFonts w:ascii="Arial" w:hAnsi="Arial" w:cs="Arial"/>
                <w:sz w:val="20"/>
                <w:szCs w:val="20"/>
              </w:rPr>
              <w:t xml:space="preserve"> </w:t>
            </w:r>
            <w:r w:rsidRPr="00C84A42">
              <w:rPr>
                <w:rFonts w:ascii="Arial" w:hAnsi="Arial" w:cs="Arial"/>
                <w:sz w:val="28"/>
                <w:szCs w:val="28"/>
              </w:rPr>
              <w:t>□</w:t>
            </w:r>
            <w:r w:rsidRPr="00C84A42">
              <w:rPr>
                <w:rFonts w:ascii="Arial" w:hAnsi="Arial" w:cs="Arial"/>
                <w:sz w:val="20"/>
                <w:szCs w:val="20"/>
              </w:rPr>
              <w:t xml:space="preserve"> No</w:t>
            </w:r>
          </w:p>
        </w:tc>
      </w:tr>
      <w:tr w:rsidR="00F707D9" w:rsidRPr="00AB0435" w14:paraId="5AA02B61" w14:textId="77777777" w:rsidTr="00F33004">
        <w:trPr>
          <w:trHeight w:val="555"/>
        </w:trPr>
        <w:tc>
          <w:tcPr>
            <w:tcW w:w="9576" w:type="dxa"/>
          </w:tcPr>
          <w:p w14:paraId="3D04AD04" w14:textId="77777777"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14:paraId="776E397B" w14:textId="77777777" w:rsidR="0029181F" w:rsidRPr="0029181F" w:rsidRDefault="00392820" w:rsidP="0029181F">
            <w:pPr>
              <w:rPr>
                <w:rFonts w:ascii="Arial" w:hAnsi="Arial" w:cs="Arial"/>
                <w:b/>
                <w:sz w:val="20"/>
                <w:szCs w:val="20"/>
              </w:rPr>
            </w:pPr>
            <w:hyperlink r:id="rId9" w:history="1">
              <w:r w:rsidR="0029181F" w:rsidRPr="00740605">
                <w:rPr>
                  <w:rStyle w:val="Lienhypertexte"/>
                  <w:rFonts w:ascii="Arial" w:hAnsi="Arial" w:cs="Arial"/>
                  <w:b/>
                  <w:sz w:val="20"/>
                  <w:szCs w:val="20"/>
                </w:rPr>
                <w:t>https://www.upjs.sk/en/?prefferedLang=EN</w:t>
              </w:r>
            </w:hyperlink>
          </w:p>
        </w:tc>
      </w:tr>
      <w:tr w:rsidR="00F707D9" w:rsidRPr="00AB0435" w14:paraId="3DC6220E" w14:textId="77777777" w:rsidTr="00F33004">
        <w:trPr>
          <w:trHeight w:val="555"/>
        </w:trPr>
        <w:tc>
          <w:tcPr>
            <w:tcW w:w="9576" w:type="dxa"/>
          </w:tcPr>
          <w:p w14:paraId="4DAD0047" w14:textId="77777777" w:rsidR="0029181F" w:rsidRPr="0029181F" w:rsidRDefault="00F707D9" w:rsidP="0029181F">
            <w:pPr>
              <w:rPr>
                <w:rFonts w:ascii="Arial" w:hAnsi="Arial" w:cs="Arial"/>
                <w:b/>
                <w:sz w:val="20"/>
                <w:szCs w:val="20"/>
              </w:rPr>
            </w:pPr>
            <w:r w:rsidRPr="00AB0435">
              <w:rPr>
                <w:rFonts w:ascii="Arial" w:hAnsi="Arial" w:cs="Arial"/>
                <w:b/>
                <w:sz w:val="20"/>
                <w:szCs w:val="20"/>
              </w:rPr>
              <w:t>Description of the organisation:</w:t>
            </w:r>
          </w:p>
          <w:p w14:paraId="00F08E0C" w14:textId="77777777" w:rsidR="0029181F" w:rsidRDefault="0029181F" w:rsidP="0029181F">
            <w:pPr>
              <w:ind w:left="15" w:right="105"/>
              <w:rPr>
                <w:lang w:val="en-US"/>
              </w:rPr>
            </w:pPr>
            <w:r w:rsidRPr="004C34B2">
              <w:rPr>
                <w:b/>
                <w:lang w:val="en-US"/>
              </w:rPr>
              <w:t>Pavol Jozef Safarik University in Kosice (UPJS)</w:t>
            </w:r>
            <w:r w:rsidRPr="004C34B2">
              <w:rPr>
                <w:lang w:val="en-US"/>
              </w:rPr>
              <w:t xml:space="preserve"> </w:t>
            </w:r>
            <w:r w:rsidRPr="004C34B2">
              <w:rPr>
                <w:noProof/>
                <w:lang w:val="fr-FR"/>
              </w:rPr>
              <w:drawing>
                <wp:anchor distT="0" distB="0" distL="114300" distR="114300" simplePos="0" relativeHeight="251661312" behindDoc="0" locked="0" layoutInCell="1" allowOverlap="0" wp14:anchorId="1BCC7C5C" wp14:editId="0ECB9D48">
                  <wp:simplePos x="0" y="0"/>
                  <wp:positionH relativeFrom="column">
                    <wp:posOffset>-3809</wp:posOffset>
                  </wp:positionH>
                  <wp:positionV relativeFrom="paragraph">
                    <wp:posOffset>37168</wp:posOffset>
                  </wp:positionV>
                  <wp:extent cx="3061335" cy="1614170"/>
                  <wp:effectExtent l="0" t="0" r="0" b="0"/>
                  <wp:wrapSquare wrapText="bothSides"/>
                  <wp:docPr id="1049" name="Picture 1049"/>
                  <wp:cNvGraphicFramePr/>
                  <a:graphic xmlns:a="http://schemas.openxmlformats.org/drawingml/2006/main">
                    <a:graphicData uri="http://schemas.openxmlformats.org/drawingml/2006/picture">
                      <pic:pic xmlns:pic="http://schemas.openxmlformats.org/drawingml/2006/picture">
                        <pic:nvPicPr>
                          <pic:cNvPr id="1049" name="Picture 1049"/>
                          <pic:cNvPicPr/>
                        </pic:nvPicPr>
                        <pic:blipFill>
                          <a:blip r:embed="rId10" cstate="print"/>
                          <a:stretch>
                            <a:fillRect/>
                          </a:stretch>
                        </pic:blipFill>
                        <pic:spPr>
                          <a:xfrm>
                            <a:off x="0" y="0"/>
                            <a:ext cx="3061335" cy="1614170"/>
                          </a:xfrm>
                          <a:prstGeom prst="rect">
                            <a:avLst/>
                          </a:prstGeom>
                        </pic:spPr>
                      </pic:pic>
                    </a:graphicData>
                  </a:graphic>
                </wp:anchor>
              </w:drawing>
            </w:r>
            <w:hyperlink r:id="rId11">
              <w:r w:rsidRPr="004C34B2">
                <w:rPr>
                  <w:color w:val="0000FF"/>
                  <w:u w:val="single" w:color="0000FF"/>
                  <w:lang w:val="en-US"/>
                </w:rPr>
                <w:t>https://www.upjs.sk/en/?prefferedLang=EN</w:t>
              </w:r>
            </w:hyperlink>
            <w:r w:rsidRPr="004C34B2">
              <w:rPr>
                <w:lang w:val="en-US"/>
              </w:rPr>
              <w:t xml:space="preserve"> </w:t>
            </w:r>
          </w:p>
          <w:p w14:paraId="27860534" w14:textId="77777777" w:rsidR="0029181F" w:rsidRDefault="0029181F" w:rsidP="0029181F">
            <w:pPr>
              <w:ind w:left="15" w:right="105"/>
              <w:rPr>
                <w:b/>
                <w:lang w:val="en-US"/>
              </w:rPr>
            </w:pPr>
          </w:p>
          <w:p w14:paraId="5B826120" w14:textId="3B345900" w:rsidR="0029181F" w:rsidRPr="004C34B2" w:rsidRDefault="0029181F" w:rsidP="0050758B">
            <w:pPr>
              <w:ind w:left="15" w:right="105"/>
              <w:jc w:val="both"/>
              <w:rPr>
                <w:lang w:val="en-US"/>
              </w:rPr>
            </w:pPr>
            <w:r>
              <w:rPr>
                <w:b/>
                <w:lang w:val="en-US"/>
              </w:rPr>
              <w:t>UPJS</w:t>
            </w:r>
            <w:r w:rsidR="008565CD">
              <w:rPr>
                <w:b/>
                <w:lang w:val="en-US"/>
              </w:rPr>
              <w:t xml:space="preserve"> </w:t>
            </w:r>
            <w:r w:rsidRPr="004C34B2">
              <w:rPr>
                <w:lang w:val="en-US"/>
              </w:rPr>
              <w:t xml:space="preserve">established in 1959, is the second-largest classical Slovak university with five faculties (Medicine, Science, Law, Public Administration, Arts) and approximately 7500 students and 650 teachers/researchers. </w:t>
            </w:r>
          </w:p>
          <w:p w14:paraId="33D4E7AC" w14:textId="77777777" w:rsidR="0029181F" w:rsidRDefault="0029181F" w:rsidP="0050758B">
            <w:pPr>
              <w:spacing w:after="47"/>
              <w:ind w:left="50" w:right="51"/>
              <w:jc w:val="both"/>
              <w:rPr>
                <w:lang w:val="en-US"/>
              </w:rPr>
            </w:pPr>
            <w:r w:rsidRPr="004C34B2">
              <w:rPr>
                <w:lang w:val="en-US"/>
              </w:rPr>
              <w:t>The recent reports of the several Academic Ranking and Rating Agencies confirm that the quality of research outputs from the UPJS is increasing and that the University belongs amongst the three best Research universities in Slovakia</w:t>
            </w:r>
            <w:r>
              <w:rPr>
                <w:lang w:val="en-US"/>
              </w:rPr>
              <w:t xml:space="preserve"> </w:t>
            </w:r>
            <w:hyperlink r:id="rId12" w:history="1">
              <w:r w:rsidRPr="00740605">
                <w:rPr>
                  <w:rStyle w:val="Lienhypertexte"/>
                  <w:lang w:val="en-US"/>
                </w:rPr>
                <w:t>https://www.upjs.sk/en/university/international-relations/Rankings/</w:t>
              </w:r>
            </w:hyperlink>
            <w:r w:rsidRPr="004C34B2">
              <w:rPr>
                <w:lang w:val="en-US"/>
              </w:rPr>
              <w:t xml:space="preserve"> </w:t>
            </w:r>
          </w:p>
          <w:p w14:paraId="09C887F5" w14:textId="77777777" w:rsidR="0029181F" w:rsidRPr="004C34B2" w:rsidRDefault="0029181F" w:rsidP="0050758B">
            <w:pPr>
              <w:spacing w:after="47"/>
              <w:ind w:left="50" w:right="51"/>
              <w:jc w:val="both"/>
              <w:rPr>
                <w:lang w:val="en-US"/>
              </w:rPr>
            </w:pPr>
            <w:r w:rsidRPr="004C34B2">
              <w:rPr>
                <w:lang w:val="en-US"/>
              </w:rPr>
              <w:t xml:space="preserve">Research infrastructure of the UPJS in the previous years (2010-2019) has been upgraded by the implementation of 17 projects within the National Operational Program Research and Development (OPRD), which is an implementation strategy of European Cohesion Policy defined in the official National Strategic Reference Framework 2007-2013 and 2014-2020 negotiated with EC. Individual laboratories from UPJS have participated in FP5, FP6, FP7 and H2020 projects. </w:t>
            </w:r>
          </w:p>
          <w:p w14:paraId="6D1466A4" w14:textId="77777777" w:rsidR="0029181F" w:rsidRDefault="0029181F" w:rsidP="0050758B">
            <w:pPr>
              <w:ind w:left="50" w:right="51"/>
              <w:jc w:val="both"/>
              <w:rPr>
                <w:color w:val="954F72"/>
                <w:lang w:val="en-US"/>
              </w:rPr>
            </w:pPr>
            <w:r w:rsidRPr="004C34B2">
              <w:rPr>
                <w:lang w:val="en-US"/>
              </w:rPr>
              <w:t xml:space="preserve">UPJS signed the Strategic Framework for </w:t>
            </w:r>
            <w:r w:rsidRPr="00827226">
              <w:rPr>
                <w:b/>
                <w:lang w:val="en-US"/>
              </w:rPr>
              <w:t>Gender Equality Policy</w:t>
            </w:r>
            <w:r w:rsidRPr="004C34B2">
              <w:rPr>
                <w:lang w:val="en-US"/>
              </w:rPr>
              <w:t xml:space="preserve"> at UPJS in Kosice. </w:t>
            </w:r>
            <w:hyperlink r:id="rId13">
              <w:r w:rsidRPr="004C34B2">
                <w:rPr>
                  <w:color w:val="954F72"/>
                  <w:u w:val="single" w:color="954F72"/>
                  <w:lang w:val="en-US"/>
                </w:rPr>
                <w:t>https://www.upjs.sk/en/university/strategic</w:t>
              </w:r>
            </w:hyperlink>
            <w:hyperlink r:id="rId14">
              <w:r w:rsidRPr="004C34B2">
                <w:rPr>
                  <w:color w:val="954F72"/>
                  <w:u w:val="single" w:color="954F72"/>
                  <w:lang w:val="en-US"/>
                </w:rPr>
                <w:t>-</w:t>
              </w:r>
            </w:hyperlink>
            <w:hyperlink r:id="rId15">
              <w:r w:rsidRPr="004C34B2">
                <w:rPr>
                  <w:color w:val="954F72"/>
                  <w:u w:val="single" w:color="954F72"/>
                  <w:lang w:val="en-US"/>
                </w:rPr>
                <w:t>framework/</w:t>
              </w:r>
            </w:hyperlink>
            <w:hyperlink r:id="rId16">
              <w:r w:rsidRPr="004C34B2">
                <w:rPr>
                  <w:color w:val="954F72"/>
                  <w:lang w:val="en-US"/>
                </w:rPr>
                <w:t xml:space="preserve"> </w:t>
              </w:r>
            </w:hyperlink>
          </w:p>
          <w:p w14:paraId="42B29AF6" w14:textId="77777777" w:rsidR="00F707D9" w:rsidRDefault="00F707D9" w:rsidP="0050758B">
            <w:pPr>
              <w:autoSpaceDE w:val="0"/>
              <w:autoSpaceDN w:val="0"/>
              <w:adjustRightInd w:val="0"/>
              <w:jc w:val="both"/>
              <w:rPr>
                <w:rFonts w:ascii="Arial" w:hAnsi="Arial" w:cs="Arial"/>
                <w:b/>
                <w:sz w:val="20"/>
                <w:szCs w:val="20"/>
                <w:highlight w:val="yellow"/>
                <w:lang w:val="en-US"/>
              </w:rPr>
            </w:pPr>
          </w:p>
          <w:p w14:paraId="437F20D9" w14:textId="2A1D7CB0" w:rsidR="00A354FE" w:rsidRDefault="004A1CAC" w:rsidP="0050758B">
            <w:pPr>
              <w:jc w:val="both"/>
              <w:rPr>
                <w:bdr w:val="none" w:sz="0" w:space="0" w:color="auto" w:frame="1"/>
              </w:rPr>
            </w:pPr>
            <w:r w:rsidRPr="00827226">
              <w:rPr>
                <w:b/>
                <w:color w:val="201F1E"/>
                <w:bdr w:val="none" w:sz="0" w:space="0" w:color="auto" w:frame="1"/>
                <w:lang w:val="en-US"/>
              </w:rPr>
              <w:t>The Faculty of Public Administration</w:t>
            </w:r>
            <w:r w:rsidRPr="00B77A2C">
              <w:rPr>
                <w:color w:val="201F1E"/>
                <w:bdr w:val="none" w:sz="0" w:space="0" w:color="auto" w:frame="1"/>
                <w:lang w:val="en-US"/>
              </w:rPr>
              <w:t xml:space="preserve"> was established in 1998 as the only faculty of its kind in the Slovak Republic higher educational system. The educational focus of the Faculty is in the study field Political sciences oriented on study programmes public administration and European public administration at all 3 levels of higher education. The Faculty is member of </w:t>
            </w:r>
            <w:r w:rsidRPr="00B77A2C">
              <w:rPr>
                <w:bdr w:val="none" w:sz="0" w:space="0" w:color="auto" w:frame="1"/>
              </w:rPr>
              <w:t>The Network of Institutes and Schools of Public Administration in Central and Eastern Europe, which connects universities, institutions and individuals with the goal to strengthen and to promote effective and democratic governance and modernization of public administration and policy. The Faculty closely cooperates with more than 30 universities from the EU and beyond in the area of joint research, education, project activities. The Faculty has developed long-term relations with national government institutions and with self-government bodies, resulting in expertise and consultancy activities. The research focus is on juridical, economic and social aspects of public administration, public policy theory and public policy making, ethics in public administration, introduction of modern ICT based solutions within public management, smart city, governance models, etc. The Faculty is a well-recognised institution within the interuniversity environment, but also wider in national and international higher education environment. </w:t>
            </w:r>
          </w:p>
          <w:p w14:paraId="183D8571" w14:textId="77777777" w:rsidR="00A354FE" w:rsidRDefault="00A354FE" w:rsidP="0050758B">
            <w:pPr>
              <w:jc w:val="both"/>
              <w:rPr>
                <w:bdr w:val="none" w:sz="0" w:space="0" w:color="auto" w:frame="1"/>
              </w:rPr>
            </w:pPr>
          </w:p>
          <w:p w14:paraId="009B20FA" w14:textId="77777777" w:rsidR="00A354FE" w:rsidRPr="00C84A42" w:rsidRDefault="00A354FE" w:rsidP="00A354FE">
            <w:pPr>
              <w:pStyle w:val="Titre4"/>
              <w:spacing w:before="0" w:after="66" w:line="271" w:lineRule="auto"/>
              <w:ind w:left="50" w:right="0"/>
              <w:jc w:val="left"/>
              <w:rPr>
                <w:rFonts w:ascii="Amerigo BT" w:eastAsia="Times New Roman" w:hAnsi="Amerigo BT" w:cs="Times New Roman"/>
                <w:b/>
                <w:i w:val="0"/>
                <w:iCs w:val="0"/>
                <w:color w:val="auto"/>
                <w:szCs w:val="22"/>
                <w:bdr w:val="none" w:sz="0" w:space="0" w:color="auto" w:frame="1"/>
                <w:lang w:val="en-GB" w:eastAsia="fr-FR" w:bidi="ar-SA"/>
              </w:rPr>
            </w:pPr>
            <w:r w:rsidRPr="00C84A42">
              <w:rPr>
                <w:rFonts w:ascii="Amerigo BT" w:eastAsia="Times New Roman" w:hAnsi="Amerigo BT" w:cs="Times New Roman"/>
                <w:b/>
                <w:i w:val="0"/>
                <w:iCs w:val="0"/>
                <w:color w:val="auto"/>
                <w:szCs w:val="22"/>
                <w:bdr w:val="none" w:sz="0" w:space="0" w:color="auto" w:frame="1"/>
                <w:lang w:val="en-GB" w:eastAsia="fr-FR" w:bidi="ar-SA"/>
              </w:rPr>
              <w:t xml:space="preserve">Competences relevant to the project </w:t>
            </w:r>
          </w:p>
          <w:p w14:paraId="5A4CD589" w14:textId="2F408AC1" w:rsidR="00A354FE" w:rsidRPr="00C84A42" w:rsidRDefault="00C84A42" w:rsidP="00C84A42">
            <w:pPr>
              <w:spacing w:after="131"/>
              <w:ind w:left="50" w:right="51"/>
              <w:jc w:val="both"/>
              <w:rPr>
                <w:bdr w:val="none" w:sz="0" w:space="0" w:color="auto" w:frame="1"/>
              </w:rPr>
            </w:pPr>
            <w:r>
              <w:rPr>
                <w:bdr w:val="none" w:sz="0" w:space="0" w:color="auto" w:frame="1"/>
              </w:rPr>
              <w:t>UPJS</w:t>
            </w:r>
            <w:r w:rsidR="00A354FE" w:rsidRPr="00C84A42">
              <w:rPr>
                <w:bdr w:val="none" w:sz="0" w:space="0" w:color="auto" w:frame="1"/>
              </w:rPr>
              <w:t xml:space="preserve"> has the “University department Lifelong Learning Centre and Project Support”, dedicated to supporting H2020 projects. The UPJS provides a stimulating research environment for its research community with access to dedicated research support staff and has the administrative capacity to project management. The UPJS has a full-time Development Officer whose role includes providing high level and intensive support to manage, administer and co-ordinate major research projects within the Institute including the timely delivery of reports to funding bodies as well as project management expertise to support individual researchers and teams. The Development Officer will work with the project implementation team and the research team to support the effective delivery of the research programme and to work with both in seeking complimentary research funding to enhance the research activities. The team will also be provided with high-level support to increase the visibility and impact of their scholarship activities which are aimed at maximising the researchers’ scholarship outputs. Support staff at the UPJS will also work with researchers and the scientist in charge of a customised research visibility strategy targeted at international academic, policy and practice stakeholders. The UPJS also has a full-time Administrator who will provide high-level administrative support to the researcher. All researchers will be provided with a designated office space and will be provided with the necessary equipment to carry out their research project i.e. computer, printer, telephone and software requirements. </w:t>
            </w:r>
          </w:p>
          <w:p w14:paraId="50A8C3E2" w14:textId="77777777" w:rsidR="00A354FE" w:rsidRPr="00C84A42" w:rsidRDefault="00A354FE" w:rsidP="00C84A42">
            <w:pPr>
              <w:spacing w:after="131"/>
              <w:ind w:left="50" w:right="51"/>
              <w:jc w:val="both"/>
              <w:rPr>
                <w:bdr w:val="none" w:sz="0" w:space="0" w:color="auto" w:frame="1"/>
              </w:rPr>
            </w:pPr>
            <w:r w:rsidRPr="00C84A42">
              <w:rPr>
                <w:bdr w:val="none" w:sz="0" w:space="0" w:color="auto" w:frame="1"/>
              </w:rPr>
              <w:t xml:space="preserve">Please see link below: </w:t>
            </w:r>
          </w:p>
          <w:p w14:paraId="7EB696DA" w14:textId="243B0D80" w:rsidR="004A1CAC" w:rsidRPr="00C84A42" w:rsidRDefault="00392820" w:rsidP="00C84A42">
            <w:pPr>
              <w:spacing w:after="131"/>
              <w:ind w:left="50" w:right="51"/>
              <w:rPr>
                <w:bdr w:val="none" w:sz="0" w:space="0" w:color="auto" w:frame="1"/>
              </w:rPr>
            </w:pPr>
            <w:hyperlink r:id="rId17">
              <w:r w:rsidR="00A354FE" w:rsidRPr="00C84A42">
                <w:rPr>
                  <w:bdr w:val="none" w:sz="0" w:space="0" w:color="auto" w:frame="1"/>
                </w:rPr>
                <w:t>https://www.upjs.sk/en/departments/lifelong</w:t>
              </w:r>
            </w:hyperlink>
            <w:hyperlink r:id="rId18">
              <w:r w:rsidR="00A354FE" w:rsidRPr="00C84A42">
                <w:rPr>
                  <w:bdr w:val="none" w:sz="0" w:space="0" w:color="auto" w:frame="1"/>
                </w:rPr>
                <w:t>-</w:t>
              </w:r>
            </w:hyperlink>
            <w:hyperlink r:id="rId19">
              <w:r w:rsidR="00A354FE" w:rsidRPr="00C84A42">
                <w:rPr>
                  <w:bdr w:val="none" w:sz="0" w:space="0" w:color="auto" w:frame="1"/>
                </w:rPr>
                <w:t>learning</w:t>
              </w:r>
            </w:hyperlink>
            <w:hyperlink r:id="rId20">
              <w:r w:rsidR="00A354FE" w:rsidRPr="00C84A42">
                <w:rPr>
                  <w:bdr w:val="none" w:sz="0" w:space="0" w:color="auto" w:frame="1"/>
                </w:rPr>
                <w:t>-</w:t>
              </w:r>
            </w:hyperlink>
            <w:hyperlink r:id="rId21">
              <w:r w:rsidR="00A354FE" w:rsidRPr="00C84A42">
                <w:rPr>
                  <w:bdr w:val="none" w:sz="0" w:space="0" w:color="auto" w:frame="1"/>
                </w:rPr>
                <w:t>centre</w:t>
              </w:r>
            </w:hyperlink>
            <w:hyperlink r:id="rId22">
              <w:r w:rsidR="00A354FE" w:rsidRPr="00C84A42">
                <w:rPr>
                  <w:bdr w:val="none" w:sz="0" w:space="0" w:color="auto" w:frame="1"/>
                </w:rPr>
                <w:t>-</w:t>
              </w:r>
            </w:hyperlink>
            <w:hyperlink r:id="rId23">
              <w:r w:rsidR="00A354FE" w:rsidRPr="00C84A42">
                <w:rPr>
                  <w:bdr w:val="none" w:sz="0" w:space="0" w:color="auto" w:frame="1"/>
                </w:rPr>
                <w:t>and</w:t>
              </w:r>
            </w:hyperlink>
            <w:hyperlink r:id="rId24">
              <w:r w:rsidR="00A354FE" w:rsidRPr="00C84A42">
                <w:rPr>
                  <w:bdr w:val="none" w:sz="0" w:space="0" w:color="auto" w:frame="1"/>
                </w:rPr>
                <w:t>-</w:t>
              </w:r>
            </w:hyperlink>
            <w:hyperlink r:id="rId25">
              <w:r w:rsidR="00A354FE" w:rsidRPr="00C84A42">
                <w:rPr>
                  <w:bdr w:val="none" w:sz="0" w:space="0" w:color="auto" w:frame="1"/>
                </w:rPr>
                <w:t>projects</w:t>
              </w:r>
            </w:hyperlink>
            <w:hyperlink r:id="rId26">
              <w:r w:rsidR="00A354FE" w:rsidRPr="00C84A42">
                <w:rPr>
                  <w:bdr w:val="none" w:sz="0" w:space="0" w:color="auto" w:frame="1"/>
                </w:rPr>
                <w:t>-</w:t>
              </w:r>
            </w:hyperlink>
            <w:r w:rsidR="00A354FE" w:rsidRPr="00C84A42">
              <w:rPr>
                <w:bdr w:val="none" w:sz="0" w:space="0" w:color="auto" w:frame="1"/>
              </w:rPr>
              <w:t>support/</w:t>
            </w:r>
            <w:r w:rsidR="00C84A42">
              <w:rPr>
                <w:bdr w:val="none" w:sz="0" w:space="0" w:color="auto" w:frame="1"/>
              </w:rPr>
              <w:t xml:space="preserve"> </w:t>
            </w:r>
          </w:p>
        </w:tc>
      </w:tr>
    </w:tbl>
    <w:p w14:paraId="75154C79" w14:textId="77777777" w:rsidR="00F707D9" w:rsidRPr="00810FE5" w:rsidRDefault="00F707D9" w:rsidP="00F707D9">
      <w:pPr>
        <w:ind w:left="-142"/>
        <w:rPr>
          <w:rFonts w:ascii="Arial" w:hAnsi="Arial" w:cs="Arial"/>
          <w:b/>
          <w:sz w:val="24"/>
          <w:szCs w:val="24"/>
          <w:highlight w:val="yellow"/>
        </w:rPr>
      </w:pPr>
    </w:p>
    <w:p w14:paraId="4D23B28C"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087"/>
      </w:tblGrid>
      <w:tr w:rsidR="00F707D9" w:rsidRPr="00AB0435" w14:paraId="6D066B1F" w14:textId="77777777" w:rsidTr="001B6090">
        <w:tc>
          <w:tcPr>
            <w:tcW w:w="2263" w:type="dxa"/>
          </w:tcPr>
          <w:p w14:paraId="6D85709C"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087" w:type="dxa"/>
          </w:tcPr>
          <w:p w14:paraId="333E0303" w14:textId="77777777" w:rsidR="00F707D9" w:rsidRPr="001B6090" w:rsidRDefault="0029181F" w:rsidP="00F33004">
            <w:pPr>
              <w:rPr>
                <w:rFonts w:ascii="Arial" w:hAnsi="Arial" w:cs="Arial"/>
                <w:snapToGrid w:val="0"/>
                <w:color w:val="000000"/>
                <w:sz w:val="20"/>
                <w:szCs w:val="20"/>
                <w:lang w:eastAsia="de-DE"/>
              </w:rPr>
            </w:pPr>
            <w:r w:rsidRPr="001B6090">
              <w:rPr>
                <w:rFonts w:ascii="Arial" w:hAnsi="Arial" w:cs="Arial"/>
                <w:snapToGrid w:val="0"/>
                <w:color w:val="000000"/>
                <w:sz w:val="20"/>
                <w:szCs w:val="20"/>
                <w:lang w:eastAsia="de-DE"/>
              </w:rPr>
              <w:t>Silvia Ručinská</w:t>
            </w:r>
          </w:p>
        </w:tc>
      </w:tr>
      <w:tr w:rsidR="00F707D9" w:rsidRPr="00AB0435" w14:paraId="372CF275" w14:textId="77777777" w:rsidTr="001B6090">
        <w:tc>
          <w:tcPr>
            <w:tcW w:w="2263" w:type="dxa"/>
          </w:tcPr>
          <w:p w14:paraId="2A4866B8" w14:textId="77777777" w:rsidR="00F707D9" w:rsidRPr="001B6090" w:rsidRDefault="00F707D9" w:rsidP="00F33004">
            <w:pPr>
              <w:rPr>
                <w:rFonts w:ascii="Arial" w:hAnsi="Arial" w:cs="Arial"/>
                <w:b/>
                <w:sz w:val="20"/>
                <w:szCs w:val="20"/>
              </w:rPr>
            </w:pPr>
            <w:r w:rsidRPr="00AB0435">
              <w:rPr>
                <w:rFonts w:ascii="Arial" w:hAnsi="Arial" w:cs="Arial"/>
                <w:b/>
                <w:sz w:val="20"/>
                <w:szCs w:val="20"/>
              </w:rPr>
              <w:t>Telephone</w:t>
            </w:r>
          </w:p>
        </w:tc>
        <w:tc>
          <w:tcPr>
            <w:tcW w:w="7087" w:type="dxa"/>
          </w:tcPr>
          <w:p w14:paraId="36996E65" w14:textId="77777777" w:rsidR="00F707D9" w:rsidRPr="001B6090" w:rsidRDefault="0029181F" w:rsidP="00F33004">
            <w:pPr>
              <w:rPr>
                <w:rFonts w:ascii="Arial" w:hAnsi="Arial" w:cs="Arial"/>
                <w:snapToGrid w:val="0"/>
                <w:color w:val="000000"/>
                <w:sz w:val="20"/>
                <w:szCs w:val="20"/>
                <w:lang w:eastAsia="de-DE"/>
              </w:rPr>
            </w:pPr>
            <w:r w:rsidRPr="001B6090">
              <w:rPr>
                <w:rFonts w:ascii="Arial" w:hAnsi="Arial" w:cs="Arial"/>
                <w:snapToGrid w:val="0"/>
                <w:color w:val="000000"/>
                <w:sz w:val="20"/>
                <w:szCs w:val="20"/>
                <w:lang w:eastAsia="de-DE"/>
              </w:rPr>
              <w:t>+421 55 234 1164</w:t>
            </w:r>
          </w:p>
        </w:tc>
      </w:tr>
      <w:tr w:rsidR="00F707D9" w:rsidRPr="00AB0435" w14:paraId="4A53E80E" w14:textId="77777777" w:rsidTr="001B6090">
        <w:tc>
          <w:tcPr>
            <w:tcW w:w="2263" w:type="dxa"/>
          </w:tcPr>
          <w:p w14:paraId="525E3D35" w14:textId="77777777" w:rsidR="00F707D9" w:rsidRPr="001B6090" w:rsidRDefault="00F707D9" w:rsidP="00F33004">
            <w:pPr>
              <w:rPr>
                <w:rFonts w:ascii="Arial" w:hAnsi="Arial" w:cs="Arial"/>
                <w:b/>
                <w:sz w:val="20"/>
                <w:szCs w:val="20"/>
              </w:rPr>
            </w:pPr>
            <w:r w:rsidRPr="00AB0435">
              <w:rPr>
                <w:rFonts w:ascii="Arial" w:hAnsi="Arial" w:cs="Arial"/>
                <w:b/>
                <w:sz w:val="20"/>
                <w:szCs w:val="20"/>
              </w:rPr>
              <w:t>E-mail</w:t>
            </w:r>
          </w:p>
        </w:tc>
        <w:tc>
          <w:tcPr>
            <w:tcW w:w="7087" w:type="dxa"/>
          </w:tcPr>
          <w:p w14:paraId="045EF7C5" w14:textId="77777777" w:rsidR="00F707D9" w:rsidRPr="001B6090" w:rsidRDefault="00392820" w:rsidP="00F33004">
            <w:pPr>
              <w:rPr>
                <w:rFonts w:ascii="Arial" w:eastAsiaTheme="minorHAnsi" w:hAnsi="Arial" w:cs="Arial"/>
                <w:color w:val="000000" w:themeColor="text1"/>
                <w:lang w:eastAsia="en-US"/>
              </w:rPr>
            </w:pPr>
            <w:hyperlink r:id="rId27" w:history="1">
              <w:r w:rsidR="0029181F" w:rsidRPr="001B6090">
                <w:rPr>
                  <w:rFonts w:ascii="Arial" w:hAnsi="Arial" w:cs="Arial"/>
                  <w:snapToGrid w:val="0"/>
                  <w:color w:val="000000"/>
                  <w:sz w:val="20"/>
                  <w:szCs w:val="20"/>
                  <w:lang w:eastAsia="de-DE"/>
                </w:rPr>
                <w:t>silvia.rucinska@upjs.sk</w:t>
              </w:r>
            </w:hyperlink>
          </w:p>
        </w:tc>
      </w:tr>
      <w:tr w:rsidR="00F707D9" w:rsidRPr="00AB0435" w14:paraId="79D8775F" w14:textId="77777777" w:rsidTr="001B6090">
        <w:tc>
          <w:tcPr>
            <w:tcW w:w="2263" w:type="dxa"/>
          </w:tcPr>
          <w:p w14:paraId="0FFA305D" w14:textId="77777777" w:rsidR="00F707D9" w:rsidRPr="001B6090" w:rsidRDefault="00F707D9" w:rsidP="00F33004">
            <w:pPr>
              <w:rPr>
                <w:rFonts w:ascii="Arial" w:hAnsi="Arial" w:cs="Arial"/>
                <w:b/>
                <w:sz w:val="20"/>
                <w:szCs w:val="20"/>
              </w:rPr>
            </w:pPr>
            <w:r w:rsidRPr="00AB0435">
              <w:rPr>
                <w:rFonts w:ascii="Arial" w:hAnsi="Arial" w:cs="Arial"/>
                <w:b/>
                <w:sz w:val="20"/>
                <w:szCs w:val="20"/>
              </w:rPr>
              <w:t>Country</w:t>
            </w:r>
          </w:p>
        </w:tc>
        <w:tc>
          <w:tcPr>
            <w:tcW w:w="7087" w:type="dxa"/>
          </w:tcPr>
          <w:p w14:paraId="0C1E1A02" w14:textId="77777777" w:rsidR="00F707D9" w:rsidRPr="001B6090" w:rsidRDefault="0029181F" w:rsidP="00F33004">
            <w:pPr>
              <w:rPr>
                <w:rFonts w:ascii="Arial" w:hAnsi="Arial" w:cs="Arial"/>
                <w:snapToGrid w:val="0"/>
                <w:color w:val="000000"/>
                <w:sz w:val="20"/>
                <w:szCs w:val="20"/>
                <w:lang w:eastAsia="de-DE"/>
              </w:rPr>
            </w:pPr>
            <w:r w:rsidRPr="001B6090">
              <w:rPr>
                <w:rFonts w:ascii="Arial" w:hAnsi="Arial" w:cs="Arial"/>
                <w:snapToGrid w:val="0"/>
                <w:color w:val="000000"/>
                <w:sz w:val="20"/>
                <w:szCs w:val="20"/>
                <w:lang w:eastAsia="de-DE"/>
              </w:rPr>
              <w:t xml:space="preserve">Slovakia </w:t>
            </w:r>
          </w:p>
        </w:tc>
      </w:tr>
    </w:tbl>
    <w:p w14:paraId="00685DA5" w14:textId="77777777" w:rsidR="00F707D9" w:rsidRPr="00810FE5" w:rsidRDefault="00F707D9" w:rsidP="00F707D9">
      <w:pPr>
        <w:rPr>
          <w:rFonts w:ascii="Arial" w:hAnsi="Arial" w:cs="Arial"/>
        </w:rPr>
      </w:pPr>
    </w:p>
    <w:p w14:paraId="3EDD263C" w14:textId="77777777" w:rsidR="00F707D9" w:rsidRDefault="00F707D9" w:rsidP="00F707D9">
      <w:pPr>
        <w:rPr>
          <w:rFonts w:ascii="Arial" w:hAnsi="Arial" w:cs="Arial"/>
          <w:b/>
          <w:bCs/>
          <w:color w:val="FF0000"/>
        </w:rPr>
      </w:pPr>
      <w:r>
        <w:rPr>
          <w:rFonts w:ascii="Arial" w:hAnsi="Arial" w:cs="Arial"/>
          <w:b/>
          <w:bCs/>
          <w:color w:val="FF0000"/>
        </w:rPr>
        <w:t>(*) –Mandatory</w:t>
      </w:r>
    </w:p>
    <w:p w14:paraId="4510947B"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28"/>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C129B" w14:textId="77777777" w:rsidR="00E03137" w:rsidRDefault="00E03137" w:rsidP="00895596">
      <w:r>
        <w:separator/>
      </w:r>
    </w:p>
  </w:endnote>
  <w:endnote w:type="continuationSeparator" w:id="0">
    <w:p w14:paraId="3A05EFBE" w14:textId="77777777" w:rsidR="00E03137" w:rsidRDefault="00E03137"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5436A" w14:textId="77777777" w:rsidR="00E03137" w:rsidRDefault="00E03137" w:rsidP="00895596">
      <w:r>
        <w:separator/>
      </w:r>
    </w:p>
  </w:footnote>
  <w:footnote w:type="continuationSeparator" w:id="0">
    <w:p w14:paraId="7AE445F3" w14:textId="77777777" w:rsidR="00E03137" w:rsidRDefault="00E03137"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B4E5"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28DA0BA4" wp14:editId="4FFD6D9E">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48631479" wp14:editId="1C154A24">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A44"/>
    <w:multiLevelType w:val="multilevel"/>
    <w:tmpl w:val="422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2527D6"/>
    <w:multiLevelType w:val="multilevel"/>
    <w:tmpl w:val="D82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626CEE"/>
    <w:multiLevelType w:val="hybridMultilevel"/>
    <w:tmpl w:val="14BCB83E"/>
    <w:lvl w:ilvl="0" w:tplc="DC7C235E">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7"/>
  </w:num>
  <w:num w:numId="6">
    <w:abstractNumId w:val="6"/>
  </w:num>
  <w:num w:numId="7">
    <w:abstractNumId w:val="10"/>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1CCE"/>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A5DE1"/>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0190"/>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090"/>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181F"/>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92820"/>
    <w:rsid w:val="003A1735"/>
    <w:rsid w:val="003A2AA2"/>
    <w:rsid w:val="003A5F0B"/>
    <w:rsid w:val="003C2788"/>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1CAC"/>
    <w:rsid w:val="004A53C1"/>
    <w:rsid w:val="004B1DB3"/>
    <w:rsid w:val="004B2378"/>
    <w:rsid w:val="004B275B"/>
    <w:rsid w:val="004B72D5"/>
    <w:rsid w:val="004C0CB6"/>
    <w:rsid w:val="004C55F6"/>
    <w:rsid w:val="004D4356"/>
    <w:rsid w:val="004D75F2"/>
    <w:rsid w:val="004E24FD"/>
    <w:rsid w:val="004E2E72"/>
    <w:rsid w:val="004E484F"/>
    <w:rsid w:val="004E4A2F"/>
    <w:rsid w:val="004E5AC5"/>
    <w:rsid w:val="004E5FF3"/>
    <w:rsid w:val="004E6C12"/>
    <w:rsid w:val="004F1227"/>
    <w:rsid w:val="004F2E69"/>
    <w:rsid w:val="004F49A6"/>
    <w:rsid w:val="00501234"/>
    <w:rsid w:val="00501435"/>
    <w:rsid w:val="00504B8D"/>
    <w:rsid w:val="0050758B"/>
    <w:rsid w:val="005079DC"/>
    <w:rsid w:val="00510CD6"/>
    <w:rsid w:val="00511BC9"/>
    <w:rsid w:val="00511EF5"/>
    <w:rsid w:val="00512746"/>
    <w:rsid w:val="0051450E"/>
    <w:rsid w:val="0052353D"/>
    <w:rsid w:val="00525635"/>
    <w:rsid w:val="00525FCA"/>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56B50"/>
    <w:rsid w:val="006630A4"/>
    <w:rsid w:val="00666435"/>
    <w:rsid w:val="006667B0"/>
    <w:rsid w:val="0066701B"/>
    <w:rsid w:val="0067213B"/>
    <w:rsid w:val="00673AC7"/>
    <w:rsid w:val="006805EA"/>
    <w:rsid w:val="00681C61"/>
    <w:rsid w:val="00683EC1"/>
    <w:rsid w:val="00683ED5"/>
    <w:rsid w:val="006848BA"/>
    <w:rsid w:val="0068753A"/>
    <w:rsid w:val="0069014F"/>
    <w:rsid w:val="0069104C"/>
    <w:rsid w:val="00692CA2"/>
    <w:rsid w:val="006A0F69"/>
    <w:rsid w:val="006A1D24"/>
    <w:rsid w:val="006A5420"/>
    <w:rsid w:val="006B04C6"/>
    <w:rsid w:val="006B5ECD"/>
    <w:rsid w:val="006B6B30"/>
    <w:rsid w:val="006C7306"/>
    <w:rsid w:val="006D1796"/>
    <w:rsid w:val="006D444F"/>
    <w:rsid w:val="006D4C1E"/>
    <w:rsid w:val="006D5802"/>
    <w:rsid w:val="006D6FD6"/>
    <w:rsid w:val="006E0977"/>
    <w:rsid w:val="006E1D19"/>
    <w:rsid w:val="006E55C8"/>
    <w:rsid w:val="006F1035"/>
    <w:rsid w:val="006F21E7"/>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20D"/>
    <w:rsid w:val="00767B89"/>
    <w:rsid w:val="0077188B"/>
    <w:rsid w:val="00773C94"/>
    <w:rsid w:val="0077417E"/>
    <w:rsid w:val="007755CE"/>
    <w:rsid w:val="00777853"/>
    <w:rsid w:val="00781BBE"/>
    <w:rsid w:val="00785356"/>
    <w:rsid w:val="00785BBD"/>
    <w:rsid w:val="00790344"/>
    <w:rsid w:val="00790914"/>
    <w:rsid w:val="007912C4"/>
    <w:rsid w:val="007A6522"/>
    <w:rsid w:val="007A6564"/>
    <w:rsid w:val="007B7B26"/>
    <w:rsid w:val="007C3869"/>
    <w:rsid w:val="007C3FAD"/>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5CD"/>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3DF8"/>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D90"/>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354FE"/>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1A04"/>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85C61"/>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1658E"/>
    <w:rsid w:val="00C258ED"/>
    <w:rsid w:val="00C2743A"/>
    <w:rsid w:val="00C32005"/>
    <w:rsid w:val="00C32FB8"/>
    <w:rsid w:val="00C33C7B"/>
    <w:rsid w:val="00C34286"/>
    <w:rsid w:val="00C42194"/>
    <w:rsid w:val="00C43F6C"/>
    <w:rsid w:val="00C449F7"/>
    <w:rsid w:val="00C45942"/>
    <w:rsid w:val="00C47257"/>
    <w:rsid w:val="00C5078D"/>
    <w:rsid w:val="00C53866"/>
    <w:rsid w:val="00C53EB2"/>
    <w:rsid w:val="00C57FD2"/>
    <w:rsid w:val="00C603A4"/>
    <w:rsid w:val="00C63124"/>
    <w:rsid w:val="00C65CCC"/>
    <w:rsid w:val="00C70BC1"/>
    <w:rsid w:val="00C744C1"/>
    <w:rsid w:val="00C84A42"/>
    <w:rsid w:val="00C84FCE"/>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2C8"/>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3137"/>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3F2C"/>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3E8B0"/>
  <w15:docId w15:val="{798AFC10-DC36-4A59-948E-51CE819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paragraph" w:styleId="Titre4">
    <w:name w:val="heading 4"/>
    <w:basedOn w:val="Normal"/>
    <w:next w:val="Normal"/>
    <w:link w:val="Titre4Car"/>
    <w:uiPriority w:val="9"/>
    <w:unhideWhenUsed/>
    <w:qFormat/>
    <w:rsid w:val="00A354FE"/>
    <w:pPr>
      <w:keepNext/>
      <w:keepLines/>
      <w:spacing w:before="40" w:line="248" w:lineRule="auto"/>
      <w:ind w:left="5006" w:right="118" w:hanging="10"/>
      <w:jc w:val="both"/>
      <w:outlineLvl w:val="3"/>
    </w:pPr>
    <w:rPr>
      <w:rFonts w:asciiTheme="majorHAnsi" w:eastAsiaTheme="majorEastAsia" w:hAnsiTheme="majorHAnsi" w:cstheme="majorBidi"/>
      <w:i/>
      <w:iCs/>
      <w:color w:val="365F91" w:themeColor="accent1" w:themeShade="BF"/>
      <w:szCs w:val="24"/>
      <w:lang w:val="sk-SK" w:eastAsia="sk-SK" w:bidi="sk-S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UnresolvedMention">
    <w:name w:val="Unresolved Mention"/>
    <w:basedOn w:val="Policepardfaut"/>
    <w:uiPriority w:val="99"/>
    <w:semiHidden/>
    <w:unhideWhenUsed/>
    <w:rsid w:val="0029181F"/>
    <w:rPr>
      <w:color w:val="605E5C"/>
      <w:shd w:val="clear" w:color="auto" w:fill="E1DFDD"/>
    </w:rPr>
  </w:style>
  <w:style w:type="paragraph" w:styleId="NormalWeb">
    <w:name w:val="Normal (Web)"/>
    <w:basedOn w:val="Normal"/>
    <w:uiPriority w:val="99"/>
    <w:semiHidden/>
    <w:unhideWhenUsed/>
    <w:rsid w:val="006C7306"/>
    <w:pPr>
      <w:spacing w:before="100" w:beforeAutospacing="1" w:after="100" w:afterAutospacing="1"/>
    </w:pPr>
    <w:rPr>
      <w:rFonts w:ascii="Times New Roman" w:hAnsi="Times New Roman"/>
      <w:sz w:val="24"/>
      <w:szCs w:val="24"/>
      <w:lang w:val="sk-SK" w:eastAsia="sk-SK"/>
    </w:rPr>
  </w:style>
  <w:style w:type="character" w:customStyle="1" w:styleId="Titre4Car">
    <w:name w:val="Titre 4 Car"/>
    <w:basedOn w:val="Policepardfaut"/>
    <w:link w:val="Titre4"/>
    <w:uiPriority w:val="9"/>
    <w:rsid w:val="00A354FE"/>
    <w:rPr>
      <w:rFonts w:asciiTheme="majorHAnsi" w:eastAsiaTheme="majorEastAsia" w:hAnsiTheme="majorHAnsi" w:cstheme="majorBidi"/>
      <w:i/>
      <w:iCs/>
      <w:color w:val="365F91" w:themeColor="accent1" w:themeShade="BF"/>
      <w:sz w:val="22"/>
      <w:szCs w:val="24"/>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371343724">
      <w:bodyDiv w:val="1"/>
      <w:marLeft w:val="0"/>
      <w:marRight w:val="0"/>
      <w:marTop w:val="0"/>
      <w:marBottom w:val="0"/>
      <w:divBdr>
        <w:top w:val="none" w:sz="0" w:space="0" w:color="auto"/>
        <w:left w:val="none" w:sz="0" w:space="0" w:color="auto"/>
        <w:bottom w:val="none" w:sz="0" w:space="0" w:color="auto"/>
        <w:right w:val="none" w:sz="0" w:space="0" w:color="auto"/>
      </w:divBdr>
      <w:divsChild>
        <w:div w:id="1242720701">
          <w:marLeft w:val="0"/>
          <w:marRight w:val="0"/>
          <w:marTop w:val="0"/>
          <w:marBottom w:val="0"/>
          <w:divBdr>
            <w:top w:val="none" w:sz="0" w:space="0" w:color="auto"/>
            <w:left w:val="none" w:sz="0" w:space="0" w:color="auto"/>
            <w:bottom w:val="none" w:sz="0" w:space="0" w:color="auto"/>
            <w:right w:val="none" w:sz="0" w:space="0" w:color="auto"/>
          </w:divBdr>
          <w:divsChild>
            <w:div w:id="246036622">
              <w:marLeft w:val="0"/>
              <w:marRight w:val="0"/>
              <w:marTop w:val="0"/>
              <w:marBottom w:val="0"/>
              <w:divBdr>
                <w:top w:val="none" w:sz="0" w:space="0" w:color="auto"/>
                <w:left w:val="none" w:sz="0" w:space="0" w:color="auto"/>
                <w:bottom w:val="none" w:sz="0" w:space="0" w:color="auto"/>
                <w:right w:val="none" w:sz="0" w:space="0" w:color="auto"/>
              </w:divBdr>
              <w:divsChild>
                <w:div w:id="16679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5006260">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682319170">
      <w:bodyDiv w:val="1"/>
      <w:marLeft w:val="0"/>
      <w:marRight w:val="0"/>
      <w:marTop w:val="0"/>
      <w:marBottom w:val="0"/>
      <w:divBdr>
        <w:top w:val="none" w:sz="0" w:space="0" w:color="auto"/>
        <w:left w:val="none" w:sz="0" w:space="0" w:color="auto"/>
        <w:bottom w:val="none" w:sz="0" w:space="0" w:color="auto"/>
        <w:right w:val="none" w:sz="0" w:space="0" w:color="auto"/>
      </w:divBdr>
      <w:divsChild>
        <w:div w:id="1653100165">
          <w:marLeft w:val="0"/>
          <w:marRight w:val="0"/>
          <w:marTop w:val="0"/>
          <w:marBottom w:val="0"/>
          <w:divBdr>
            <w:top w:val="none" w:sz="0" w:space="0" w:color="auto"/>
            <w:left w:val="none" w:sz="0" w:space="0" w:color="auto"/>
            <w:bottom w:val="none" w:sz="0" w:space="0" w:color="auto"/>
            <w:right w:val="none" w:sz="0" w:space="0" w:color="auto"/>
          </w:divBdr>
          <w:divsChild>
            <w:div w:id="86578797">
              <w:marLeft w:val="0"/>
              <w:marRight w:val="0"/>
              <w:marTop w:val="0"/>
              <w:marBottom w:val="0"/>
              <w:divBdr>
                <w:top w:val="none" w:sz="0" w:space="0" w:color="auto"/>
                <w:left w:val="none" w:sz="0" w:space="0" w:color="auto"/>
                <w:bottom w:val="none" w:sz="0" w:space="0" w:color="auto"/>
                <w:right w:val="none" w:sz="0" w:space="0" w:color="auto"/>
              </w:divBdr>
              <w:divsChild>
                <w:div w:id="19715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research-and-innovation/strategy/european-green-deal/call/strengthening-knowledge_en" TargetMode="External"/><Relationship Id="rId13" Type="http://schemas.openxmlformats.org/officeDocument/2006/relationships/hyperlink" Target="https://www.upjs.sk/en/university/strategic-framework/" TargetMode="External"/><Relationship Id="rId18" Type="http://schemas.openxmlformats.org/officeDocument/2006/relationships/hyperlink" Target="https://www.upjs.sk/en/departments/lifelong-learning-centre-and-projects-support/" TargetMode="External"/><Relationship Id="rId26" Type="http://schemas.openxmlformats.org/officeDocument/2006/relationships/hyperlink" Target="https://www.upjs.sk/en/departments/lifelong-learning-centre-and-projects-support/" TargetMode="External"/><Relationship Id="rId3" Type="http://schemas.openxmlformats.org/officeDocument/2006/relationships/settings" Target="settings.xml"/><Relationship Id="rId21" Type="http://schemas.openxmlformats.org/officeDocument/2006/relationships/hyperlink" Target="https://www.upjs.sk/en/departments/lifelong-learning-centre-and-projects-support/" TargetMode="External"/><Relationship Id="rId7" Type="http://schemas.openxmlformats.org/officeDocument/2006/relationships/hyperlink" Target="https://ec.europa.eu/info/research-and-innovation/strategy/european-green-deal/call/strengthening-knowledge_en" TargetMode="External"/><Relationship Id="rId12" Type="http://schemas.openxmlformats.org/officeDocument/2006/relationships/hyperlink" Target="https://www.upjs.sk/en/university/international-relations/Rankings/" TargetMode="External"/><Relationship Id="rId17" Type="http://schemas.openxmlformats.org/officeDocument/2006/relationships/hyperlink" Target="https://www.upjs.sk/en/departments/lifelong-learning-centre-and-projects-support/" TargetMode="External"/><Relationship Id="rId25" Type="http://schemas.openxmlformats.org/officeDocument/2006/relationships/hyperlink" Target="https://www.upjs.sk/en/departments/lifelong-learning-centre-and-projects-support/" TargetMode="External"/><Relationship Id="rId2" Type="http://schemas.openxmlformats.org/officeDocument/2006/relationships/styles" Target="styles.xml"/><Relationship Id="rId16" Type="http://schemas.openxmlformats.org/officeDocument/2006/relationships/hyperlink" Target="https://www.upjs.sk/en/university/strategic-framework/" TargetMode="External"/><Relationship Id="rId20" Type="http://schemas.openxmlformats.org/officeDocument/2006/relationships/hyperlink" Target="https://www.upjs.sk/en/departments/lifelong-learning-centre-and-projects-supp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js.sk/en/?prefferedLang=EN" TargetMode="External"/><Relationship Id="rId24" Type="http://schemas.openxmlformats.org/officeDocument/2006/relationships/hyperlink" Target="https://www.upjs.sk/en/departments/lifelong-learning-centre-and-projects-support/" TargetMode="External"/><Relationship Id="rId5" Type="http://schemas.openxmlformats.org/officeDocument/2006/relationships/footnotes" Target="footnotes.xml"/><Relationship Id="rId15" Type="http://schemas.openxmlformats.org/officeDocument/2006/relationships/hyperlink" Target="https://www.upjs.sk/en/university/strategic-framework/" TargetMode="External"/><Relationship Id="rId23" Type="http://schemas.openxmlformats.org/officeDocument/2006/relationships/hyperlink" Target="https://www.upjs.sk/en/departments/lifelong-learning-centre-and-projects-support/"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upjs.sk/en/departments/lifelong-learning-centre-and-projects-support/" TargetMode="External"/><Relationship Id="rId4" Type="http://schemas.openxmlformats.org/officeDocument/2006/relationships/webSettings" Target="webSettings.xml"/><Relationship Id="rId9" Type="http://schemas.openxmlformats.org/officeDocument/2006/relationships/hyperlink" Target="https://www.upjs.sk/en/?prefferedLang=EN" TargetMode="External"/><Relationship Id="rId14" Type="http://schemas.openxmlformats.org/officeDocument/2006/relationships/hyperlink" Target="https://www.upjs.sk/en/university/strategic-framework/" TargetMode="External"/><Relationship Id="rId22" Type="http://schemas.openxmlformats.org/officeDocument/2006/relationships/hyperlink" Target="https://www.upjs.sk/en/departments/lifelong-learning-centre-and-projects-support/" TargetMode="External"/><Relationship Id="rId27" Type="http://schemas.openxmlformats.org/officeDocument/2006/relationships/hyperlink" Target="mailto:silvia.rucinska@upjs.s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1550</Words>
  <Characters>8527</Characters>
  <Application>Microsoft Office Word</Application>
  <DocSecurity>0</DocSecurity>
  <Lines>71</Lines>
  <Paragraphs>20</Paragraphs>
  <ScaleCrop>false</ScaleCrop>
  <HeadingPairs>
    <vt:vector size="10" baseType="variant">
      <vt:variant>
        <vt:lpstr>Názov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4</cp:revision>
  <cp:lastPrinted>2009-07-23T09:36:00Z</cp:lastPrinted>
  <dcterms:created xsi:type="dcterms:W3CDTF">2020-09-18T08:02:00Z</dcterms:created>
  <dcterms:modified xsi:type="dcterms:W3CDTF">2020-09-28T09:38:00Z</dcterms:modified>
</cp:coreProperties>
</file>