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5E" w:rsidRDefault="00336BD7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1D54328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1385" cy="448310"/>
                <wp:effectExtent l="0" t="0" r="19050" b="2857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44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DB165E" w:rsidRDefault="00336BD7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DB165E" w:rsidRDefault="00336BD7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Horizon2020@recherche.gouv.fr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54328" id="Rectangle 3" o:spid="_x0000_s1026" style="position:absolute;left:0;text-align:left;margin-left:146.25pt;margin-top:-24pt;width:172.55pt;height:35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" fillcolor="white [3212]" strokecolor="#c00000" strokeweight=".26mm">
                <v:stroke joinstyle="round"/>
                <v:textbox>
                  <w:txbxContent>
                    <w:p w:rsidR="00DB165E" w:rsidRDefault="00336BD7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DB165E" w:rsidRDefault="00336BD7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DB165E" w:rsidRDefault="00336BD7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DB165E" w:rsidRDefault="00336BD7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(DD-MM-YY)</w:t>
      </w:r>
    </w:p>
    <w:p w:rsidR="00DB165E" w:rsidRDefault="00336BD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Indicate numbers of relevant topics for Green Deal call: 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B165E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DB1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65E" w:rsidRDefault="00336BD7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LC-GD-3.1: </w:t>
            </w:r>
            <w:r w:rsidRPr="00336BD7">
              <w:rPr>
                <w:rFonts w:ascii="Arial" w:hAnsi="Arial" w:cs="Arial"/>
                <w:b/>
                <w:sz w:val="20"/>
                <w:szCs w:val="20"/>
              </w:rPr>
              <w:t>Closing the industrial carbon cycle to combat climate change</w:t>
            </w:r>
          </w:p>
        </w:tc>
      </w:tr>
    </w:tbl>
    <w:p w:rsidR="00DB165E" w:rsidRDefault="00DB165E">
      <w:pPr>
        <w:rPr>
          <w:rFonts w:ascii="Arial" w:hAnsi="Arial" w:cs="Arial"/>
          <w:b/>
          <w:sz w:val="24"/>
          <w:szCs w:val="24"/>
        </w:rPr>
      </w:pPr>
    </w:p>
    <w:p w:rsidR="00DB165E" w:rsidRDefault="00336BD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B165E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DB16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65E" w:rsidRDefault="00DB16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DB165E" w:rsidRDefault="00DB165E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DB165E" w:rsidRDefault="00336BD7">
      <w:pPr>
        <w:pStyle w:val="PrformatHTML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Do you intend to apply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as</w:t>
      </w:r>
      <w:r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DB165E" w:rsidRDefault="00336BD7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Coordinator: No </w:t>
      </w:r>
    </w:p>
    <w:p w:rsidR="00DB165E" w:rsidRDefault="00336BD7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Participant: Yes</w:t>
      </w:r>
    </w:p>
    <w:p w:rsidR="00DB165E" w:rsidRDefault="00DB165E">
      <w:pPr>
        <w:pStyle w:val="PrformatHTML"/>
        <w:rPr>
          <w:rFonts w:ascii="Arial" w:hAnsi="Arial" w:cs="Arial"/>
          <w:b/>
          <w:lang w:val="en-US"/>
        </w:rPr>
      </w:pPr>
    </w:p>
    <w:p w:rsidR="00DB165E" w:rsidRDefault="00DB165E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DB165E" w:rsidRDefault="00336BD7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Either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(up to 1000 characters) - </w:t>
      </w:r>
      <w:r>
        <w:rPr>
          <w:rFonts w:ascii="Arial" w:hAnsi="Arial" w:cs="Arial"/>
          <w:b/>
          <w:i/>
          <w:sz w:val="22"/>
          <w:szCs w:val="24"/>
          <w:lang w:val="en-US"/>
        </w:rPr>
        <w:t>specify which points of the "expected impact" of the call you are targeting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B165E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DB165E" w:rsidRDefault="00DB1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DB165E" w:rsidRDefault="00DB165E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DB165E" w:rsidRDefault="00336BD7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Description of the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(up to 1000 characters) - </w:t>
      </w:r>
      <w:r>
        <w:rPr>
          <w:rFonts w:ascii="Arial" w:hAnsi="Arial" w:cs="Arial"/>
          <w:b/>
          <w:i/>
          <w:sz w:val="22"/>
          <w:szCs w:val="24"/>
          <w:lang w:val="en-US"/>
        </w:rPr>
        <w:t>specify which points</w:t>
      </w:r>
      <w:r>
        <w:rPr>
          <w:rFonts w:ascii="Arial" w:hAnsi="Arial" w:cs="Arial"/>
          <w:b/>
          <w:i/>
          <w:sz w:val="22"/>
          <w:szCs w:val="24"/>
          <w:lang w:val="en-US"/>
        </w:rPr>
        <w:t xml:space="preserve"> of the "expected impact" of the call you are targeting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B165E">
        <w:trPr>
          <w:trHeight w:val="78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DB1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Characterization of materials for carbon capture in terms of their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thermophysical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properties and of the solubility of CO2. Advanced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nonstatistical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data analysis (critical assessment of data, robust 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onlinear and linear regression).</w:t>
            </w:r>
          </w:p>
          <w:p w:rsidR="00DB165E" w:rsidRDefault="00DB165E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DB165E" w:rsidRDefault="00336BD7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fluid phase equilibria –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thermophysical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properties of fluids and solids – thermodynamics of task-specific materials – advanced data analysis</w:t>
            </w:r>
          </w:p>
        </w:tc>
      </w:tr>
    </w:tbl>
    <w:p w:rsidR="00DB165E" w:rsidRDefault="00DB165E">
      <w:pPr>
        <w:rPr>
          <w:rFonts w:ascii="Arial" w:hAnsi="Arial" w:cs="Arial"/>
          <w:b/>
          <w:sz w:val="24"/>
          <w:szCs w:val="24"/>
        </w:rPr>
      </w:pPr>
    </w:p>
    <w:p w:rsidR="00DB165E" w:rsidRDefault="00336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DB165E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and country: Institute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Chemical Process Fundamentals, Department of Aerosols Chemistry and Physics, research group of Thermodynamics of Task-Specific Materials,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Rozvojová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135/1, CZ-165 02 Prague 6</w:t>
            </w:r>
          </w:p>
          <w:p w:rsidR="00DB165E" w:rsidRDefault="00DB165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B165E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>⊠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Other: Association</w:t>
            </w:r>
          </w:p>
        </w:tc>
      </w:tr>
      <w:tr w:rsidR="00DB165E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Former participation in FP European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projects?</w:t>
            </w:r>
            <w:proofErr w:type="gramEnd"/>
          </w:p>
          <w:p w:rsidR="00CA37C4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>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Institute of Chemical Process Fundamentals has participated in several H2020 projects.</w:t>
            </w:r>
          </w:p>
        </w:tc>
      </w:tr>
      <w:tr w:rsidR="00DB165E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  <w:highlight w:val="yellow"/>
                </w:rPr>
                <w:t>www.icpf.cas.cz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www.ttsm.icpf.cas.cz</w:t>
            </w:r>
          </w:p>
        </w:tc>
      </w:tr>
      <w:tr w:rsidR="00DB165E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Research institute that is part of the Czech Academy of Sciences</w:t>
            </w:r>
          </w:p>
        </w:tc>
      </w:tr>
    </w:tbl>
    <w:p w:rsidR="00DB165E" w:rsidRDefault="00DB165E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DB165E" w:rsidRDefault="00336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Contact details 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2056"/>
        <w:gridCol w:w="7294"/>
      </w:tblGrid>
      <w:tr w:rsidR="00DB165E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 person name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Bendová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, Ph.D.</w:t>
            </w:r>
          </w:p>
        </w:tc>
      </w:tr>
      <w:tr w:rsidR="00DB165E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DB165E" w:rsidRDefault="00DB165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+420 220 390 172</w:t>
            </w:r>
          </w:p>
        </w:tc>
      </w:tr>
      <w:tr w:rsidR="00DB165E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DB165E" w:rsidRDefault="00DB165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hyperlink r:id="rId8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eastAsia="de-DE"/>
                </w:rPr>
                <w:t>bendova@icpf.cas.cz</w:t>
              </w:r>
            </w:hyperlink>
          </w:p>
        </w:tc>
      </w:tr>
      <w:tr w:rsidR="00DB165E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DB165E" w:rsidRDefault="00DB165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E" w:rsidRDefault="00336BD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:rsidR="00DB165E" w:rsidRDefault="00DB165E">
      <w:pPr>
        <w:rPr>
          <w:rFonts w:ascii="Arial" w:hAnsi="Arial" w:cs="Arial"/>
        </w:rPr>
      </w:pPr>
    </w:p>
    <w:p w:rsidR="00DB165E" w:rsidRDefault="00336BD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DB165E" w:rsidRDefault="00DB165E">
      <w:pPr>
        <w:rPr>
          <w:rFonts w:ascii="Arial" w:hAnsi="Arial" w:cs="Arial"/>
          <w:b/>
          <w:bCs/>
          <w:color w:val="FF0000"/>
          <w:lang w:val="en-US"/>
        </w:rPr>
      </w:pPr>
    </w:p>
    <w:sectPr w:rsidR="00DB165E">
      <w:headerReference w:type="default" r:id="rId9"/>
      <w:footerReference w:type="default" r:id="rId10"/>
      <w:pgSz w:w="11906" w:h="16838"/>
      <w:pgMar w:top="1440" w:right="1286" w:bottom="777" w:left="1260" w:header="720" w:footer="72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6BD7">
      <w:r>
        <w:separator/>
      </w:r>
    </w:p>
  </w:endnote>
  <w:endnote w:type="continuationSeparator" w:id="0">
    <w:p w:rsidR="00000000" w:rsidRDefault="003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go B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erif">
    <w:altName w:val="Times New Roman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E" w:rsidRDefault="00DB16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6BD7">
      <w:r>
        <w:separator/>
      </w:r>
    </w:p>
  </w:footnote>
  <w:footnote w:type="continuationSeparator" w:id="0">
    <w:p w:rsidR="00000000" w:rsidRDefault="003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5E" w:rsidRDefault="00336BD7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3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>
      <w:rPr>
        <w:noProof/>
        <w:lang w:val="fr-FR"/>
      </w:rPr>
      <w:drawing>
        <wp:inline distT="0" distB="0" distL="0" distR="0">
          <wp:extent cx="1562100" cy="981075"/>
          <wp:effectExtent l="0" t="0" r="0" b="0"/>
          <wp:docPr id="4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D13"/>
    <w:multiLevelType w:val="multilevel"/>
    <w:tmpl w:val="39F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190CBB"/>
    <w:multiLevelType w:val="multilevel"/>
    <w:tmpl w:val="053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B8315A"/>
    <w:multiLevelType w:val="multilevel"/>
    <w:tmpl w:val="26C6D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E"/>
    <w:rsid w:val="00336BD7"/>
    <w:rsid w:val="00CA37C4"/>
    <w:rsid w:val="00D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45EA"/>
  <w15:docId w15:val="{75FAB94C-8BEE-46C1-A8D0-96F1A8AE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qFormat/>
    <w:rsid w:val="004D75F2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4D75F2"/>
    <w:rPr>
      <w:rFonts w:ascii="Amerigo BT" w:hAnsi="Amerigo BT"/>
      <w:lang w:val="en-GB" w:eastAsia="fr-FR"/>
    </w:rPr>
  </w:style>
  <w:style w:type="character" w:customStyle="1" w:styleId="ObjetducommentaireCar">
    <w:name w:val="Objet du commentaire Car"/>
    <w:basedOn w:val="CommentaireCar"/>
    <w:link w:val="Objetducommentaire"/>
    <w:qFormat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qFormat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qFormat/>
    <w:rsid w:val="00895596"/>
    <w:rPr>
      <w:rFonts w:ascii="Amerigo BT" w:hAnsi="Amerigo BT"/>
      <w:sz w:val="22"/>
      <w:szCs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qFormat/>
    <w:rsid w:val="00895596"/>
    <w:rPr>
      <w:rFonts w:ascii="Amerigo BT" w:hAnsi="Amerigo BT"/>
      <w:sz w:val="22"/>
      <w:szCs w:val="22"/>
      <w:lang w:val="en-GB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880696"/>
    <w:rPr>
      <w:rFonts w:ascii="Courier New" w:hAnsi="Courier New" w:cs="Courier New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F25B7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qFormat/>
    <w:rsid w:val="002D15D1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4D75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4D75F2"/>
    <w:rPr>
      <w:b/>
      <w:bCs/>
    </w:rPr>
  </w:style>
  <w:style w:type="paragraph" w:customStyle="1" w:styleId="Default">
    <w:name w:val="Default"/>
    <w:qFormat/>
    <w:rsid w:val="00F707D9"/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ova@icpf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f.ca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1606</Characters>
  <Application>Microsoft Office Word</Application>
  <DocSecurity>0</DocSecurity>
  <Lines>13</Lines>
  <Paragraphs>3</Paragraphs>
  <ScaleCrop>false</ScaleCrop>
  <Company>iserd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orly</dc:creator>
  <dc:description/>
  <cp:lastModifiedBy>UZUN Irina</cp:lastModifiedBy>
  <cp:revision>5</cp:revision>
  <cp:lastPrinted>2009-07-23T09:36:00Z</cp:lastPrinted>
  <dcterms:created xsi:type="dcterms:W3CDTF">2020-08-24T15:26:00Z</dcterms:created>
  <dcterms:modified xsi:type="dcterms:W3CDTF">2020-08-25T12:51:00Z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iserd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