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" fillcolor="white [3212]" strokecolor="#c00000">
                <v:textbox>
                  <w:txbxContent>
                    <w:p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(DD-MM-YY)</w:t>
      </w:r>
    </w:p>
    <w:p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681D" w:rsidRPr="0085681D" w:rsidRDefault="0085681D" w:rsidP="0085681D">
            <w:pPr>
              <w:pStyle w:val="Paragraphedeliste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85681D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 xml:space="preserve">LC-GD-5-1-2020 : Green </w:t>
            </w:r>
            <w:proofErr w:type="spellStart"/>
            <w:r w:rsidRPr="0085681D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airports</w:t>
            </w:r>
            <w:proofErr w:type="spellEnd"/>
            <w:r w:rsidRPr="0085681D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 xml:space="preserve"> and ports as hubs for </w:t>
            </w:r>
            <w:proofErr w:type="spellStart"/>
            <w:r w:rsidRPr="0085681D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sustainable</w:t>
            </w:r>
            <w:proofErr w:type="spellEnd"/>
            <w:r w:rsidRPr="0085681D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 xml:space="preserve"> and smart </w:t>
            </w:r>
            <w:proofErr w:type="spellStart"/>
            <w:r w:rsidRPr="0085681D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mobility</w:t>
            </w:r>
            <w:proofErr w:type="spellEnd"/>
          </w:p>
          <w:p w:rsidR="0085681D" w:rsidRPr="0085681D" w:rsidRDefault="0085681D" w:rsidP="0085681D">
            <w:pPr>
              <w:pStyle w:val="Paragraphedeliste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  <w:p w:rsidR="00F707D9" w:rsidRPr="00AB0435" w:rsidRDefault="00F707D9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(describe the objectives, activities, partners requested and their skills)</w:t>
            </w: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apply </w:t>
      </w:r>
      <w:proofErr w:type="gramStart"/>
      <w:r w:rsidRPr="00B16670">
        <w:rPr>
          <w:rFonts w:ascii="Arial" w:hAnsi="Arial" w:cs="Arial"/>
          <w:b/>
          <w:sz w:val="24"/>
          <w:szCs w:val="24"/>
          <w:lang w:val="en-GB"/>
        </w:rPr>
        <w:t>as</w:t>
      </w:r>
      <w:r w:rsidRPr="00DD5D3D">
        <w:rPr>
          <w:rFonts w:ascii="Arial" w:hAnsi="Arial" w:cs="Arial"/>
          <w:b/>
          <w:sz w:val="24"/>
          <w:szCs w:val="24"/>
          <w:lang w:val="en-US"/>
        </w:rPr>
        <w:t> ?</w:t>
      </w:r>
      <w:proofErr w:type="gramEnd"/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 : </w:t>
      </w:r>
    </w:p>
    <w:p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B16670">
        <w:rPr>
          <w:rFonts w:ascii="Arial" w:hAnsi="Arial" w:cs="Arial"/>
          <w:b/>
          <w:lang w:val="en-US"/>
        </w:rPr>
        <w:t xml:space="preserve"> 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:rsidR="008D1B93" w:rsidRPr="00B16670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>: Yes</w:t>
      </w:r>
    </w:p>
    <w:p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880696" w:rsidRPr="00DD5D3D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c>
          <w:tcPr>
            <w:tcW w:w="9576" w:type="dxa"/>
          </w:tcPr>
          <w:p w:rsidR="00F707D9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Xxxxxxxxx</w:t>
            </w:r>
            <w:proofErr w:type="spellEnd"/>
          </w:p>
          <w:p w:rsidR="00880696" w:rsidRPr="00914087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words : </w:t>
            </w:r>
          </w:p>
        </w:tc>
      </w:tr>
    </w:tbl>
    <w:p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:rsidR="00F707D9" w:rsidRPr="00DD5D3D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rPr>
          <w:trHeight w:val="788"/>
        </w:trPr>
        <w:tc>
          <w:tcPr>
            <w:tcW w:w="9576" w:type="dxa"/>
          </w:tcPr>
          <w:p w:rsidR="0036409B" w:rsidRPr="0036409B" w:rsidRDefault="0036409B" w:rsidP="0036409B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Technology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company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routeRANK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(2006)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provides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multimodal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mobility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portals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as an IT service. </w:t>
            </w:r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br/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Unlike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other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solutions,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they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address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the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entire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door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-to-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door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route by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integrating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all relevant modes of transport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such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as air, rail (high speed, national as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well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as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regional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), coach, public transport, P+R, car,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rental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car,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fleet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, car sharing, car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pooling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, limousine, ride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hailing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, taxi, e-bike, bike,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walk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and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their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many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multimodal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combinations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, in Europe and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worldwide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. </w:t>
            </w:r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br/>
              <w:t xml:space="preserve">In a single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search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, the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patented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technology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finds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and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ranks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the best possible routes,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allowing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users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to sort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them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according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to multiple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criteria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such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as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price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,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travel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time and CO2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emissions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, and to book/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reserve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them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in the relevant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ways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,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including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the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MaaS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payment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model. </w:t>
            </w:r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br/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We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personalize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and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integrate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our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platform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according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to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our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diverse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customers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' and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partners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’ use and business cases, in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particular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around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their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own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offering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,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their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preferred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partners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and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their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goals. </w:t>
            </w:r>
          </w:p>
          <w:p w:rsidR="0036409B" w:rsidRPr="0036409B" w:rsidRDefault="0036409B" w:rsidP="0036409B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Additional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solutions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based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on the multimodal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routing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technology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include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corporate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mobility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portals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, commuter trip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analysis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as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well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as parking attribution and parking management. </w:t>
            </w:r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br/>
            </w:r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br/>
              <w:t xml:space="preserve">Our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portals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are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used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both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as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corporate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mobility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portals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(i.e.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within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customers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, for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their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employees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) and as public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mobility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portals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. In the over 13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years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,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we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have put in place over 75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different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customer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and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partner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versions and the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platform’s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technology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has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undergone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over 150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product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iterations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.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References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include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• Consumer applications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like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Avis,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Mobility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CarSharing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and Touring Club </w:t>
            </w:r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br/>
              <w:t xml:space="preserve">• Transport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operators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like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TPF, TPG, TL and hubs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like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Geneva Airport </w:t>
            </w:r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br/>
              <w:t xml:space="preserve">• Public institutions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like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Commune de Bagnes and Ville de Lancy </w:t>
            </w:r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br/>
              <w:t xml:space="preserve">•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Tourism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destinations and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events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like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Lake Geneva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region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and Paléo Festival </w:t>
            </w:r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br/>
              <w:t xml:space="preserve">•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Mobility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technology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providers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like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Concur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and Siemens </w:t>
            </w:r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br/>
              <w:t xml:space="preserve">• Global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companies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like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Roche and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BearingPoint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br/>
            </w:r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lastRenderedPageBreak/>
              <w:t xml:space="preserve">•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Leading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travel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companies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like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BCD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Travel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and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Concur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br/>
              <w:t xml:space="preserve">• International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organizations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such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as WEF and WWF </w:t>
            </w:r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br/>
              <w:t xml:space="preserve">This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experience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is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unique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worldwide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in duration, in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its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depth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and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breadth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. </w:t>
            </w:r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br/>
            </w:r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br/>
            </w:r>
            <w:proofErr w:type="spellStart"/>
            <w:proofErr w:type="gram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routeRANK</w:t>
            </w:r>
            <w:proofErr w:type="spellEnd"/>
            <w:proofErr w:type="gram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was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the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laureate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of the 2008 KPMG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Tomorrow's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Market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Award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and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named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a TR35 by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MIT’s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Technology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Review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in 2010. It has been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recognized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in the Smart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Mobility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Awards as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well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as the International Transport Forum &amp;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OECD's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Transport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Achievement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Award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and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received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the Association of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Corporate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Travel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Executive's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(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ACTE's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) EMEA and Global Awards. </w:t>
            </w:r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br/>
            </w:r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br/>
              <w:t xml:space="preserve">Dr Klaus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Toepfer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, former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Executive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Director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of the United Nations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Environment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Programme (UNEP),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endorses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routeRANK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as '</w:t>
            </w:r>
            <w:proofErr w:type="gram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a</w:t>
            </w:r>
            <w:proofErr w:type="gram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system [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that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]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will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make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informed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travel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choices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possible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which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are not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only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cost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- and time-efficient but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also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benefit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the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environment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'. </w:t>
            </w:r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br/>
            </w:r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br/>
              <w:t xml:space="preserve">Chairman Jochen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Mundinger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is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a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regular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speaker at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industry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events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such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as ACTE, GBTA or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PhoCusWright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and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coverage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includes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br/>
              <w:t xml:space="preserve">•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Industry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publications Smart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Mobility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Management, The Beat and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Tnooz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br/>
              <w:t xml:space="preserve">•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Technical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publications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such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as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Mashable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and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Wired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br/>
              <w:t xml:space="preserve">• General publications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such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as The </w:t>
            </w:r>
            <w:proofErr w:type="spellStart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>Economist</w:t>
            </w:r>
            <w:proofErr w:type="spellEnd"/>
            <w:r w:rsidRPr="0036409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and The New York Times </w:t>
            </w:r>
          </w:p>
          <w:p w:rsidR="00F707D9" w:rsidRDefault="00F707D9" w:rsidP="00880696">
            <w:pPr>
              <w:pStyle w:val="Default"/>
              <w:ind w:left="720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880696" w:rsidRPr="005D5E2C" w:rsidRDefault="00880696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+key </w:t>
            </w:r>
            <w:proofErr w:type="gramStart"/>
            <w:r>
              <w:rPr>
                <w:rFonts w:eastAsia="Calibri"/>
                <w:b/>
                <w:sz w:val="20"/>
                <w:szCs w:val="20"/>
                <w:lang w:val="en-US"/>
              </w:rPr>
              <w:t>words :</w:t>
            </w:r>
            <w:proofErr w:type="gramEnd"/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6409B">
              <w:rPr>
                <w:rFonts w:eastAsia="Calibri"/>
                <w:b/>
                <w:sz w:val="20"/>
                <w:szCs w:val="20"/>
                <w:lang w:val="en-US"/>
              </w:rPr>
              <w:t>Maas, Mobility as a service, Mobility, Travel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  <w:r w:rsidR="008568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5681D">
              <w:rPr>
                <w:rFonts w:ascii="Arial" w:hAnsi="Arial" w:cs="Arial"/>
                <w:b/>
                <w:sz w:val="20"/>
                <w:szCs w:val="20"/>
              </w:rPr>
              <w:t>routeRANK</w:t>
            </w:r>
            <w:proofErr w:type="spellEnd"/>
            <w:r w:rsidR="0085681D">
              <w:rPr>
                <w:rFonts w:ascii="Arial" w:hAnsi="Arial" w:cs="Arial"/>
                <w:b/>
                <w:sz w:val="20"/>
                <w:szCs w:val="20"/>
              </w:rPr>
              <w:t>, Switzerland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SME 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85681D" w:rsidRDefault="00F707D9" w:rsidP="00F3300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68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Web address:</w:t>
            </w:r>
          </w:p>
          <w:p w:rsidR="0085681D" w:rsidRPr="0085681D" w:rsidRDefault="00175355" w:rsidP="0085681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  <w:lang w:val="fr-CH"/>
              </w:rPr>
            </w:pPr>
            <w:hyperlink r:id="rId7" w:history="1">
              <w:r w:rsidR="0085681D" w:rsidRPr="0085681D">
                <w:rPr>
                  <w:rStyle w:val="Lienhypertexte"/>
                  <w:rFonts w:ascii="Arial" w:hAnsi="Arial" w:cs="Arial"/>
                  <w:b/>
                  <w:color w:val="000000" w:themeColor="text1"/>
                  <w:sz w:val="20"/>
                  <w:szCs w:val="20"/>
                  <w:lang w:val="fr-CH"/>
                </w:rPr>
                <w:t>https://business.routerank.com/</w:t>
              </w:r>
            </w:hyperlink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  <w:r w:rsidR="002121C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2121C0" w:rsidRPr="002121C0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IT solutions for </w:t>
            </w:r>
            <w:proofErr w:type="spellStart"/>
            <w:r w:rsidR="002121C0" w:rsidRPr="002121C0">
              <w:rPr>
                <w:rFonts w:ascii="Arial" w:hAnsi="Arial" w:cs="Arial"/>
                <w:b/>
                <w:sz w:val="20"/>
                <w:szCs w:val="20"/>
                <w:lang w:val="fr-CH"/>
              </w:rPr>
              <w:t>travel</w:t>
            </w:r>
            <w:proofErr w:type="spellEnd"/>
            <w:r w:rsidR="002121C0" w:rsidRPr="002121C0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and </w:t>
            </w:r>
            <w:proofErr w:type="spellStart"/>
            <w:r w:rsidR="002121C0" w:rsidRPr="002121C0">
              <w:rPr>
                <w:rFonts w:ascii="Arial" w:hAnsi="Arial" w:cs="Arial"/>
                <w:b/>
                <w:sz w:val="20"/>
                <w:szCs w:val="20"/>
                <w:lang w:val="fr-CH"/>
              </w:rPr>
              <w:t>mobility</w:t>
            </w:r>
            <w:proofErr w:type="spellEnd"/>
            <w:r w:rsidR="002121C0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for </w:t>
            </w:r>
            <w:proofErr w:type="spellStart"/>
            <w:r w:rsidR="002121C0">
              <w:rPr>
                <w:rFonts w:ascii="Arial" w:hAnsi="Arial" w:cs="Arial"/>
                <w:b/>
                <w:sz w:val="20"/>
                <w:szCs w:val="20"/>
                <w:lang w:val="fr-CH"/>
              </w:rPr>
              <w:t>D</w:t>
            </w:r>
            <w:r w:rsidR="002121C0" w:rsidRPr="002121C0">
              <w:rPr>
                <w:rFonts w:ascii="Arial" w:hAnsi="Arial" w:cs="Arial"/>
                <w:b/>
                <w:sz w:val="20"/>
                <w:szCs w:val="20"/>
                <w:lang w:val="fr-CH"/>
              </w:rPr>
              <w:t>oor</w:t>
            </w:r>
            <w:proofErr w:type="spellEnd"/>
            <w:r w:rsidR="002121C0" w:rsidRPr="002121C0">
              <w:rPr>
                <w:rFonts w:ascii="Arial" w:hAnsi="Arial" w:cs="Arial"/>
                <w:b/>
                <w:sz w:val="20"/>
                <w:szCs w:val="20"/>
                <w:lang w:val="fr-CH"/>
              </w:rPr>
              <w:t>-to-</w:t>
            </w:r>
            <w:proofErr w:type="spellStart"/>
            <w:r w:rsidR="002121C0" w:rsidRPr="002121C0">
              <w:rPr>
                <w:rFonts w:ascii="Arial" w:hAnsi="Arial" w:cs="Arial"/>
                <w:b/>
                <w:sz w:val="20"/>
                <w:szCs w:val="20"/>
                <w:lang w:val="fr-CH"/>
              </w:rPr>
              <w:t>door</w:t>
            </w:r>
            <w:proofErr w:type="spellEnd"/>
            <w:r w:rsidR="002121C0" w:rsidRPr="002121C0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, multimodal route planning </w:t>
            </w:r>
            <w:proofErr w:type="spellStart"/>
            <w:r w:rsidR="002121C0" w:rsidRPr="002121C0">
              <w:rPr>
                <w:rFonts w:ascii="Arial" w:hAnsi="Arial" w:cs="Arial"/>
                <w:b/>
                <w:sz w:val="20"/>
                <w:szCs w:val="20"/>
                <w:lang w:val="fr-CH"/>
              </w:rPr>
              <w:t>with</w:t>
            </w:r>
            <w:proofErr w:type="spellEnd"/>
            <w:r w:rsidR="002121C0" w:rsidRPr="002121C0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multiple </w:t>
            </w:r>
            <w:proofErr w:type="spellStart"/>
            <w:r w:rsidR="002121C0" w:rsidRPr="002121C0">
              <w:rPr>
                <w:rFonts w:ascii="Arial" w:hAnsi="Arial" w:cs="Arial"/>
                <w:b/>
                <w:sz w:val="20"/>
                <w:szCs w:val="20"/>
                <w:lang w:val="fr-CH"/>
              </w:rPr>
              <w:t>priorities</w:t>
            </w:r>
            <w:proofErr w:type="spellEnd"/>
            <w:r w:rsidR="002121C0">
              <w:rPr>
                <w:rFonts w:ascii="Arial" w:hAnsi="Arial" w:cs="Arial"/>
                <w:b/>
                <w:sz w:val="20"/>
                <w:szCs w:val="20"/>
                <w:lang w:val="fr-CH"/>
              </w:rPr>
              <w:t>.</w:t>
            </w:r>
          </w:p>
          <w:p w:rsidR="00F707D9" w:rsidRPr="00D218AE" w:rsidRDefault="00F707D9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</w:tbl>
    <w:p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7295"/>
      </w:tblGrid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:rsidR="00F707D9" w:rsidRPr="00AB0435" w:rsidRDefault="0085681D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Zingg</w:t>
            </w:r>
            <w:proofErr w:type="spellEnd"/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 xml:space="preserve"> Olivier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85681D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85681D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zingg@routerank.com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36409B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Switzerland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</w:rPr>
      </w:pPr>
    </w:p>
    <w:p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5355" w:rsidRDefault="00175355" w:rsidP="00895596">
      <w:r>
        <w:separator/>
      </w:r>
    </w:p>
  </w:endnote>
  <w:endnote w:type="continuationSeparator" w:id="0">
    <w:p w:rsidR="00175355" w:rsidRDefault="00175355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merigo BT">
    <w:altName w:val="Times New Roman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5355" w:rsidRDefault="00175355" w:rsidP="00895596">
      <w:r>
        <w:separator/>
      </w:r>
    </w:p>
  </w:footnote>
  <w:footnote w:type="continuationSeparator" w:id="0">
    <w:p w:rsidR="00175355" w:rsidRDefault="00175355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0153B220" wp14:editId="02E51493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656A"/>
    <w:rsid w:val="00097372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5355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21C0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050ED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09B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681D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2222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3C5EC6-FF74-F441-B12B-965EDFDA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paragraph" w:styleId="Titre1">
    <w:name w:val="heading 1"/>
    <w:basedOn w:val="Normal"/>
    <w:next w:val="Normal"/>
    <w:link w:val="Titre1Car"/>
    <w:qFormat/>
    <w:rsid w:val="002121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121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85681D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semiHidden/>
    <w:rsid w:val="002121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fr-FR"/>
    </w:rPr>
  </w:style>
  <w:style w:type="character" w:customStyle="1" w:styleId="Titre1Car">
    <w:name w:val="Titre 1 Car"/>
    <w:basedOn w:val="Policepardfaut"/>
    <w:link w:val="Titre1"/>
    <w:rsid w:val="002121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2977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usiness.routerank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3571</Characters>
  <Application>Microsoft Office Word</Application>
  <DocSecurity>0</DocSecurity>
  <Lines>29</Lines>
  <Paragraphs>8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Microsoft Office User</cp:lastModifiedBy>
  <cp:revision>2</cp:revision>
  <cp:lastPrinted>2009-07-23T09:36:00Z</cp:lastPrinted>
  <dcterms:created xsi:type="dcterms:W3CDTF">2020-08-03T06:21:00Z</dcterms:created>
  <dcterms:modified xsi:type="dcterms:W3CDTF">2020-08-03T06:21:00Z</dcterms:modified>
</cp:coreProperties>
</file>