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383578">
        <w:rPr>
          <w:rFonts w:ascii="Arial" w:hAnsi="Arial" w:cs="Arial"/>
          <w:b/>
          <w:sz w:val="24"/>
          <w:szCs w:val="24"/>
        </w:rPr>
        <w:t>23-07-20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DD5D3D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 numbers of r</w:t>
      </w:r>
      <w:r w:rsidR="00F707D9" w:rsidRPr="00810FE5">
        <w:rPr>
          <w:rFonts w:ascii="Arial" w:hAnsi="Arial" w:cs="Arial"/>
          <w:b/>
          <w:sz w:val="24"/>
          <w:szCs w:val="24"/>
        </w:rPr>
        <w:t>elevant topic</w:t>
      </w:r>
      <w:r>
        <w:rPr>
          <w:rFonts w:ascii="Arial" w:hAnsi="Arial" w:cs="Arial"/>
          <w:b/>
          <w:sz w:val="24"/>
          <w:szCs w:val="24"/>
        </w:rPr>
        <w:t>s for Green Deal call: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383578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383578">
              <w:rPr>
                <w:rFonts w:ascii="Arial" w:hAnsi="Arial" w:cs="Arial"/>
                <w:b/>
                <w:sz w:val="20"/>
                <w:szCs w:val="20"/>
              </w:rPr>
              <w:t>LC-GD-1-2-2020 : Towards Climate Neutral &amp; socially innovative cities</w:t>
            </w:r>
          </w:p>
          <w:p w:rsidR="00383578" w:rsidRDefault="00383578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383578">
              <w:rPr>
                <w:rFonts w:ascii="Arial" w:hAnsi="Arial" w:cs="Arial"/>
                <w:b/>
                <w:sz w:val="20"/>
                <w:szCs w:val="20"/>
              </w:rPr>
              <w:t>LC-GD-9-2-2020 : Developing end-user products and services for all stakeholders and citizens supporting climate adaptation and mitigation</w:t>
            </w:r>
          </w:p>
          <w:p w:rsidR="00383578" w:rsidRDefault="005F2770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5F2770">
              <w:rPr>
                <w:rFonts w:ascii="Arial" w:hAnsi="Arial" w:cs="Arial"/>
                <w:b/>
                <w:sz w:val="20"/>
                <w:szCs w:val="20"/>
              </w:rPr>
              <w:t>LC-GD-10-1-2020 : European capacities for citizen deliberation and participation for the Green Deal</w:t>
            </w:r>
          </w:p>
          <w:p w:rsidR="005F2770" w:rsidRDefault="005F2770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5F2770">
              <w:rPr>
                <w:rFonts w:ascii="Arial" w:hAnsi="Arial" w:cs="Arial"/>
                <w:b/>
                <w:sz w:val="20"/>
                <w:szCs w:val="20"/>
              </w:rPr>
              <w:t>LC-GD-10-2-2020 : Behavioural, social and cultural change for the Green Deal</w:t>
            </w:r>
          </w:p>
          <w:p w:rsidR="005F2770" w:rsidRPr="00AB0435" w:rsidRDefault="005F2770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5F2770">
              <w:rPr>
                <w:rFonts w:ascii="Arial" w:hAnsi="Arial" w:cs="Arial"/>
                <w:b/>
                <w:sz w:val="20"/>
                <w:szCs w:val="20"/>
              </w:rPr>
              <w:t>LC-GD-10-3-2020 : Enabling citizens to act on climate change and environmental protection through education, citizen science, observation initiatives, and civic involvement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5F2770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5F2770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80696" w:rsidP="005F2770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20D70" w:rsidRPr="009E0CFD" w:rsidRDefault="009E0CFD" w:rsidP="009E0CF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E0CFD">
              <w:rPr>
                <w:rFonts w:ascii="Arial" w:hAnsi="Arial" w:cs="Arial"/>
                <w:b/>
                <w:sz w:val="20"/>
                <w:szCs w:val="20"/>
              </w:rPr>
              <w:t>Our research approaches environmental management by questioning the state of relations between actors present in the territories (cooperation, conflicts, participation</w:t>
            </w:r>
            <w:proofErr w:type="gramStart"/>
            <w:r w:rsidR="00920D70">
              <w:rPr>
                <w:rFonts w:ascii="Arial" w:hAnsi="Arial" w:cs="Arial"/>
                <w:b/>
                <w:sz w:val="20"/>
                <w:szCs w:val="20"/>
              </w:rPr>
              <w:t>,…</w:t>
            </w:r>
            <w:proofErr w:type="gramEnd"/>
            <w:r w:rsidRPr="009E0CFD">
              <w:rPr>
                <w:rFonts w:ascii="Arial" w:hAnsi="Arial" w:cs="Arial"/>
                <w:b/>
                <w:sz w:val="20"/>
                <w:szCs w:val="20"/>
              </w:rPr>
              <w:t xml:space="preserve">) and the state of relations between these actors and certain non-human entities. We offer </w:t>
            </w:r>
            <w:r w:rsidR="00920D70">
              <w:rPr>
                <w:rFonts w:ascii="Arial" w:hAnsi="Arial" w:cs="Arial"/>
                <w:b/>
                <w:sz w:val="20"/>
                <w:szCs w:val="20"/>
              </w:rPr>
              <w:t>skills o</w:t>
            </w:r>
            <w:r w:rsidRPr="009E0CFD">
              <w:rPr>
                <w:rFonts w:ascii="Arial" w:hAnsi="Arial" w:cs="Arial"/>
                <w:b/>
                <w:sz w:val="20"/>
                <w:szCs w:val="20"/>
              </w:rPr>
              <w:t>n methodologies for measuring the state of the environment and for improving social relations with the environment (access to resources, exposure to risks, etc.).</w:t>
            </w:r>
            <w:r w:rsidR="00920D70">
              <w:rPr>
                <w:rFonts w:ascii="Arial" w:hAnsi="Arial" w:cs="Arial"/>
                <w:b/>
                <w:sz w:val="20"/>
                <w:szCs w:val="20"/>
              </w:rPr>
              <w:t xml:space="preserve"> We</w:t>
            </w:r>
            <w:r w:rsidR="00920D70" w:rsidRPr="00920D70">
              <w:rPr>
                <w:rFonts w:ascii="Arial" w:hAnsi="Arial" w:cs="Arial"/>
                <w:b/>
                <w:sz w:val="20"/>
                <w:szCs w:val="20"/>
              </w:rPr>
              <w:t xml:space="preserve"> mobilize methods from the </w:t>
            </w:r>
            <w:r w:rsidR="00920D70">
              <w:rPr>
                <w:rFonts w:ascii="Arial" w:hAnsi="Arial" w:cs="Arial"/>
                <w:b/>
                <w:sz w:val="20"/>
                <w:szCs w:val="20"/>
              </w:rPr>
              <w:t>Social S</w:t>
            </w:r>
            <w:r w:rsidR="00920D70" w:rsidRPr="00920D70">
              <w:rPr>
                <w:rFonts w:ascii="Arial" w:hAnsi="Arial" w:cs="Arial"/>
                <w:b/>
                <w:sz w:val="20"/>
                <w:szCs w:val="20"/>
              </w:rPr>
              <w:t xml:space="preserve">ciences such as the analysis of public policies, the analysis of representations, the analysis of citizen participation and </w:t>
            </w:r>
            <w:r w:rsidR="00920D70">
              <w:rPr>
                <w:rFonts w:ascii="Arial" w:hAnsi="Arial" w:cs="Arial"/>
                <w:b/>
                <w:sz w:val="20"/>
                <w:szCs w:val="20"/>
              </w:rPr>
              <w:t xml:space="preserve">associated </w:t>
            </w:r>
            <w:r w:rsidR="00920D70" w:rsidRPr="00920D70">
              <w:rPr>
                <w:rFonts w:ascii="Arial" w:hAnsi="Arial" w:cs="Arial"/>
                <w:b/>
                <w:sz w:val="20"/>
                <w:szCs w:val="20"/>
              </w:rPr>
              <w:t xml:space="preserve">debates, and the analysis of behaviour </w:t>
            </w:r>
            <w:r w:rsidR="00920D70">
              <w:rPr>
                <w:rFonts w:ascii="Arial" w:hAnsi="Arial" w:cs="Arial"/>
                <w:b/>
                <w:sz w:val="20"/>
                <w:szCs w:val="20"/>
              </w:rPr>
              <w:t>through</w:t>
            </w:r>
            <w:r w:rsidR="00920D70" w:rsidRPr="00920D70">
              <w:rPr>
                <w:rFonts w:ascii="Arial" w:hAnsi="Arial" w:cs="Arial"/>
                <w:b/>
                <w:sz w:val="20"/>
                <w:szCs w:val="20"/>
              </w:rPr>
              <w:t xml:space="preserve"> experimental economics. Our expertise also covers the understanding of urban water management and access to water.</w:t>
            </w:r>
            <w:bookmarkEnd w:id="0"/>
          </w:p>
          <w:p w:rsidR="00F707D9" w:rsidRPr="009E0CFD" w:rsidRDefault="00F707D9" w:rsidP="00920D70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:rsidR="00880696" w:rsidRPr="005D5E2C" w:rsidRDefault="00880696" w:rsidP="009E0CFD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E0CFD" w:rsidRPr="009E0CFD">
              <w:rPr>
                <w:rFonts w:eastAsia="Calibri"/>
                <w:b/>
                <w:sz w:val="20"/>
                <w:szCs w:val="20"/>
                <w:lang w:val="en-US"/>
              </w:rPr>
              <w:t xml:space="preserve">Territorial governance, </w:t>
            </w:r>
            <w:r w:rsidR="009E0CFD">
              <w:rPr>
                <w:rFonts w:eastAsia="Calibri"/>
                <w:b/>
                <w:sz w:val="20"/>
                <w:szCs w:val="20"/>
                <w:lang w:val="en-US"/>
              </w:rPr>
              <w:t>Public action, E</w:t>
            </w:r>
            <w:r w:rsidR="009E0CFD" w:rsidRPr="009E0CFD">
              <w:rPr>
                <w:rFonts w:eastAsia="Calibri"/>
                <w:b/>
                <w:sz w:val="20"/>
                <w:szCs w:val="20"/>
                <w:lang w:val="en-US"/>
              </w:rPr>
              <w:t xml:space="preserve">nvironmental controversies, </w:t>
            </w:r>
            <w:r w:rsidR="009E0CFD">
              <w:rPr>
                <w:rFonts w:eastAsia="Calibri"/>
                <w:b/>
                <w:sz w:val="20"/>
                <w:szCs w:val="20"/>
                <w:lang w:val="en-US"/>
              </w:rPr>
              <w:t>Public participation, P</w:t>
            </w:r>
            <w:r w:rsidR="009E0CFD" w:rsidRPr="009E0CFD">
              <w:rPr>
                <w:rFonts w:eastAsia="Calibri"/>
                <w:b/>
                <w:sz w:val="20"/>
                <w:szCs w:val="20"/>
                <w:lang w:val="en-US"/>
              </w:rPr>
              <w:t>ublic action</w:t>
            </w:r>
            <w:r w:rsidR="009E0CFD">
              <w:rPr>
                <w:rFonts w:eastAsia="Calibri"/>
                <w:b/>
                <w:sz w:val="20"/>
                <w:szCs w:val="20"/>
                <w:lang w:val="en-US"/>
              </w:rPr>
              <w:t>, Risk representations</w:t>
            </w:r>
            <w:r w:rsidR="009E0CFD" w:rsidRPr="009E0CFD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9E0CFD">
              <w:rPr>
                <w:rFonts w:eastAsia="Calibri"/>
                <w:b/>
                <w:sz w:val="20"/>
                <w:szCs w:val="20"/>
                <w:lang w:val="en-US"/>
              </w:rPr>
              <w:t>Experimental economics, Urban</w:t>
            </w:r>
            <w:r w:rsidR="009E0CFD" w:rsidRPr="009E0CFD">
              <w:rPr>
                <w:rFonts w:eastAsia="Calibri"/>
                <w:b/>
                <w:sz w:val="20"/>
                <w:szCs w:val="20"/>
                <w:lang w:val="en-US"/>
              </w:rPr>
              <w:t xml:space="preserve"> water managemen</w:t>
            </w:r>
            <w:r w:rsidR="009E0CFD">
              <w:rPr>
                <w:rFonts w:eastAsia="Calibri"/>
                <w:b/>
                <w:sz w:val="20"/>
                <w:szCs w:val="20"/>
                <w:lang w:val="en-US"/>
              </w:rPr>
              <w:t>t.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Default="005F2770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GESTE</w:t>
            </w:r>
            <w:r w:rsidR="0045138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INRAE / ENGEES </w:t>
            </w:r>
          </w:p>
          <w:p w:rsidR="005F2770" w:rsidRPr="00AB0435" w:rsidRDefault="0045138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Strasbourg,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5F2770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2770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</w:p>
          <w:p w:rsidR="00F707D9" w:rsidRPr="00AB0435" w:rsidRDefault="005F2770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2770">
              <w:rPr>
                <w:rFonts w:ascii="Arial" w:hAnsi="Arial" w:cs="Arial"/>
                <w:b/>
                <w:sz w:val="20"/>
                <w:szCs w:val="20"/>
              </w:rPr>
              <w:t>http://geste.engees.eu/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451385" w:rsidRPr="00451385" w:rsidRDefault="00451385" w:rsidP="0045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research unit </w:t>
            </w: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>characterised</w:t>
            </w:r>
            <w:proofErr w:type="spellEnd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by its </w:t>
            </w:r>
            <w:proofErr w:type="spellStart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interdisciplinarity</w:t>
            </w:r>
            <w:proofErr w:type="spellEnd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the field of social sciences (economics, sociology, public management and administration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geography, political science)</w:t>
            </w: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also has strong skills in engineering sciences/urban engineering.</w:t>
            </w:r>
          </w:p>
          <w:p w:rsidR="00F707D9" w:rsidRDefault="00451385" w:rsidP="0045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>Our research is aimed at producing new knowledge based on a plurality of methods: experimental economics, sociological and psycho-sociological surveys, cartography, work on archives,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modelling,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optimisation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multi</w:t>
            </w: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>criteria</w:t>
            </w:r>
            <w:proofErr w:type="spellEnd"/>
            <w:proofErr w:type="gramEnd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analysis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451385" w:rsidRPr="00451385" w:rsidRDefault="00451385" w:rsidP="0045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research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areaq</w:t>
            </w:r>
            <w:proofErr w:type="spellEnd"/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are marked by strong so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cietal and environmental issues</w:t>
            </w: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such as</w:t>
            </w:r>
            <w:r w:rsidRPr="004513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urban water and waste cycles, water resources and associated services, water-related risks and impacts on natural or man-made environments.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5F277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Carine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Heitz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5F277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+33 3 88 24 82 42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45138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Pr="00CD4039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carine.heitz@inrae.fr</w:t>
              </w:r>
            </w:hyperlink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5F277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3578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85"/>
    <w:rsid w:val="004513B7"/>
    <w:rsid w:val="0045231D"/>
    <w:rsid w:val="00453BC3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2770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0D70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0CFD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heitz@inra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2748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Anonymus</cp:lastModifiedBy>
  <cp:revision>2</cp:revision>
  <cp:lastPrinted>2009-07-23T09:36:00Z</cp:lastPrinted>
  <dcterms:created xsi:type="dcterms:W3CDTF">2020-07-23T09:51:00Z</dcterms:created>
  <dcterms:modified xsi:type="dcterms:W3CDTF">2020-07-23T09:51:00Z</dcterms:modified>
</cp:coreProperties>
</file>